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6B49" w14:textId="77777777" w:rsidR="00062787" w:rsidRDefault="00333651" w:rsidP="00062787">
      <w:pPr>
        <w:pStyle w:val="Heading9"/>
        <w:tabs>
          <w:tab w:val="clear" w:pos="720"/>
          <w:tab w:val="clear" w:pos="1440"/>
          <w:tab w:val="clear" w:pos="2160"/>
          <w:tab w:val="clear" w:pos="2880"/>
        </w:tabs>
        <w:ind w:left="4860" w:hanging="2970"/>
        <w:jc w:val="center"/>
        <w:rPr>
          <w:rFonts w:ascii="Arial Nova Light" w:hAnsi="Arial Nova Light"/>
          <w:color w:val="000000"/>
          <w:sz w:val="36"/>
          <w:szCs w:val="36"/>
        </w:rPr>
      </w:pPr>
      <w:r w:rsidRPr="00062787">
        <w:rPr>
          <w:rFonts w:ascii="Arial Nova Light" w:hAnsi="Arial Nova Light"/>
          <w:color w:val="000000"/>
          <w:sz w:val="36"/>
          <w:szCs w:val="36"/>
        </w:rPr>
        <w:t>SCHE</w:t>
      </w:r>
      <w:r w:rsidR="00354407" w:rsidRPr="00062787">
        <w:rPr>
          <w:rFonts w:ascii="Arial Nova Light" w:hAnsi="Arial Nova Light"/>
          <w:color w:val="000000"/>
          <w:sz w:val="36"/>
          <w:szCs w:val="36"/>
        </w:rPr>
        <w:t>DULE OF CHARGES</w:t>
      </w:r>
    </w:p>
    <w:p w14:paraId="1C7A3979" w14:textId="34C873BA" w:rsidR="00A760CB" w:rsidRPr="00062787" w:rsidRDefault="00621267" w:rsidP="00062787">
      <w:pPr>
        <w:pStyle w:val="Heading9"/>
        <w:tabs>
          <w:tab w:val="clear" w:pos="720"/>
          <w:tab w:val="clear" w:pos="1440"/>
          <w:tab w:val="clear" w:pos="2160"/>
          <w:tab w:val="clear" w:pos="2880"/>
        </w:tabs>
        <w:ind w:left="4860" w:hanging="2970"/>
        <w:jc w:val="center"/>
        <w:rPr>
          <w:rFonts w:ascii="Arial Nova Light" w:hAnsi="Arial Nova Light"/>
          <w:color w:val="000000"/>
          <w:sz w:val="36"/>
          <w:szCs w:val="36"/>
        </w:rPr>
      </w:pPr>
      <w:r w:rsidRPr="00062787">
        <w:rPr>
          <w:rFonts w:ascii="Arial Nova Light" w:hAnsi="Arial Nova Light"/>
          <w:color w:val="000000"/>
          <w:sz w:val="36"/>
          <w:szCs w:val="36"/>
        </w:rPr>
        <w:t>2024</w:t>
      </w:r>
      <w:r w:rsidR="00062787">
        <w:rPr>
          <w:rFonts w:ascii="Arial Nova Light" w:hAnsi="Arial Nova Light"/>
          <w:color w:val="000000"/>
          <w:sz w:val="36"/>
          <w:szCs w:val="36"/>
        </w:rPr>
        <w:t xml:space="preserve"> </w:t>
      </w:r>
      <w:r w:rsidR="00A760CB" w:rsidRPr="00062787">
        <w:rPr>
          <w:rFonts w:ascii="Arial Nova Light" w:hAnsi="Arial Nova Light"/>
          <w:color w:val="000000"/>
          <w:sz w:val="36"/>
          <w:szCs w:val="36"/>
        </w:rPr>
        <w:t>CRUISE SHIPS</w:t>
      </w:r>
    </w:p>
    <w:p w14:paraId="3DC6BBFE" w14:textId="77777777" w:rsidR="00062787" w:rsidRDefault="00062787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snapToGrid w:val="0"/>
          <w:color w:val="000000"/>
        </w:rPr>
      </w:pPr>
    </w:p>
    <w:p w14:paraId="29B26236" w14:textId="59B2DCA0" w:rsidR="00333651" w:rsidRPr="00062787" w:rsidRDefault="00333651" w:rsidP="00062787">
      <w:pPr>
        <w:widowControl w:val="0"/>
        <w:tabs>
          <w:tab w:val="left" w:pos="0"/>
          <w:tab w:val="left" w:pos="5130"/>
        </w:tabs>
        <w:jc w:val="both"/>
        <w:rPr>
          <w:rFonts w:ascii="Arial Nova Light" w:hAnsi="Arial Nova Light"/>
          <w:snapToGrid w:val="0"/>
          <w:color w:val="000000"/>
        </w:rPr>
      </w:pPr>
      <w:r w:rsidRPr="00062787">
        <w:rPr>
          <w:rFonts w:ascii="Arial Nova Light" w:hAnsi="Arial Nova Light"/>
          <w:snapToGrid w:val="0"/>
          <w:color w:val="000000"/>
        </w:rPr>
        <w:t>The following scales of charges and dues, as authorised by Sections 26 and 27 of the Harbour Act 1964, will be brought into force in Cowes Harbour</w:t>
      </w:r>
      <w:r w:rsidR="00B949F3" w:rsidRPr="00062787">
        <w:rPr>
          <w:rFonts w:ascii="Arial Nova Light" w:hAnsi="Arial Nova Light"/>
          <w:snapToGrid w:val="0"/>
          <w:color w:val="000000"/>
        </w:rPr>
        <w:t>, Isle of Wight, UK</w:t>
      </w:r>
      <w:r w:rsidRPr="00062787">
        <w:rPr>
          <w:rFonts w:ascii="Arial Nova Light" w:hAnsi="Arial Nova Light"/>
          <w:snapToGrid w:val="0"/>
          <w:color w:val="000000"/>
        </w:rPr>
        <w:t xml:space="preserve"> on </w:t>
      </w:r>
      <w:r w:rsidR="007C5300" w:rsidRPr="00062787">
        <w:rPr>
          <w:rFonts w:ascii="Arial Nova Light" w:hAnsi="Arial Nova Light"/>
          <w:b/>
          <w:bCs/>
          <w:snapToGrid w:val="0"/>
          <w:color w:val="000000"/>
        </w:rPr>
        <w:t>1</w:t>
      </w:r>
      <w:r w:rsidR="007C5300" w:rsidRPr="00062787">
        <w:rPr>
          <w:rFonts w:ascii="Arial Nova Light" w:hAnsi="Arial Nova Light"/>
          <w:b/>
          <w:bCs/>
          <w:snapToGrid w:val="0"/>
          <w:color w:val="000000"/>
          <w:vertAlign w:val="superscript"/>
        </w:rPr>
        <w:t>st</w:t>
      </w:r>
      <w:r w:rsidR="007C5300" w:rsidRPr="00062787">
        <w:rPr>
          <w:rFonts w:ascii="Arial Nova Light" w:hAnsi="Arial Nova Light"/>
          <w:b/>
          <w:bCs/>
          <w:snapToGrid w:val="0"/>
          <w:color w:val="000000"/>
        </w:rPr>
        <w:t xml:space="preserve"> January</w:t>
      </w:r>
      <w:r w:rsidRPr="00062787">
        <w:rPr>
          <w:rFonts w:ascii="Arial Nova Light" w:hAnsi="Arial Nova Light"/>
          <w:b/>
          <w:bCs/>
          <w:snapToGrid w:val="0"/>
          <w:color w:val="000000"/>
        </w:rPr>
        <w:t xml:space="preserve"> </w:t>
      </w:r>
      <w:r w:rsidR="00621267" w:rsidRPr="00062787">
        <w:rPr>
          <w:rFonts w:ascii="Arial Nova Light" w:hAnsi="Arial Nova Light"/>
          <w:b/>
          <w:bCs/>
          <w:snapToGrid w:val="0"/>
          <w:color w:val="000000"/>
        </w:rPr>
        <w:t>2024</w:t>
      </w:r>
      <w:r w:rsidRPr="00062787">
        <w:rPr>
          <w:rFonts w:ascii="Arial Nova Light" w:hAnsi="Arial Nova Light"/>
          <w:snapToGrid w:val="0"/>
          <w:color w:val="000000"/>
        </w:rPr>
        <w:t xml:space="preserve"> and are payable by all </w:t>
      </w:r>
      <w:r w:rsidR="00E6349C" w:rsidRPr="00062787">
        <w:rPr>
          <w:rFonts w:ascii="Arial Nova Light" w:hAnsi="Arial Nova Light"/>
          <w:snapToGrid w:val="0"/>
          <w:color w:val="000000"/>
        </w:rPr>
        <w:t>Cruise Ships</w:t>
      </w:r>
      <w:r w:rsidRPr="00062787">
        <w:rPr>
          <w:rFonts w:ascii="Arial Nova Light" w:hAnsi="Arial Nova Light"/>
          <w:snapToGrid w:val="0"/>
          <w:color w:val="000000"/>
        </w:rPr>
        <w:t xml:space="preserve"> entering, </w:t>
      </w:r>
      <w:proofErr w:type="gramStart"/>
      <w:r w:rsidRPr="00062787">
        <w:rPr>
          <w:rFonts w:ascii="Arial Nova Light" w:hAnsi="Arial Nova Light"/>
          <w:snapToGrid w:val="0"/>
          <w:color w:val="000000"/>
        </w:rPr>
        <w:t>using</w:t>
      </w:r>
      <w:proofErr w:type="gramEnd"/>
      <w:r w:rsidRPr="00062787">
        <w:rPr>
          <w:rFonts w:ascii="Arial Nova Light" w:hAnsi="Arial Nova Light"/>
          <w:snapToGrid w:val="0"/>
          <w:color w:val="000000"/>
        </w:rPr>
        <w:t xml:space="preserve"> and leaving the Harbour.</w:t>
      </w:r>
    </w:p>
    <w:p w14:paraId="3B6E7A4C" w14:textId="77777777" w:rsidR="00A760CB" w:rsidRPr="00062787" w:rsidRDefault="00A760CB" w:rsidP="00A760CB">
      <w:pPr>
        <w:rPr>
          <w:rFonts w:ascii="Arial Nova Light" w:hAnsi="Arial Nova Light"/>
        </w:rPr>
      </w:pPr>
    </w:p>
    <w:p w14:paraId="185696CB" w14:textId="77777777" w:rsidR="00333651" w:rsidRPr="00062787" w:rsidRDefault="00333651">
      <w:pPr>
        <w:pStyle w:val="Heading1"/>
        <w:tabs>
          <w:tab w:val="clear" w:pos="720"/>
          <w:tab w:val="clear" w:pos="1440"/>
          <w:tab w:val="left" w:pos="360"/>
          <w:tab w:val="left" w:pos="1980"/>
        </w:tabs>
        <w:rPr>
          <w:rFonts w:ascii="Arial Nova Light" w:hAnsi="Arial Nova Light"/>
          <w:bCs/>
          <w:color w:val="000000"/>
        </w:rPr>
      </w:pPr>
      <w:r w:rsidRPr="00062787">
        <w:rPr>
          <w:rFonts w:ascii="Arial Nova Light" w:hAnsi="Arial Nova Light"/>
          <w:bCs/>
          <w:color w:val="000000"/>
        </w:rPr>
        <w:t xml:space="preserve">COMMERCIAL </w:t>
      </w:r>
      <w:r w:rsidR="00E63277" w:rsidRPr="00062787">
        <w:rPr>
          <w:rFonts w:ascii="Arial Nova Light" w:hAnsi="Arial Nova Light"/>
          <w:bCs/>
          <w:color w:val="000000"/>
        </w:rPr>
        <w:t>DUES</w:t>
      </w:r>
      <w:r w:rsidRPr="00062787">
        <w:rPr>
          <w:rFonts w:ascii="Arial Nova Light" w:hAnsi="Arial Nova Light"/>
          <w:bCs/>
          <w:color w:val="000000"/>
        </w:rPr>
        <w:t xml:space="preserve"> </w:t>
      </w:r>
    </w:p>
    <w:p w14:paraId="4CE3B3C6" w14:textId="6B4CB36B" w:rsidR="00316DAA" w:rsidRPr="00062787" w:rsidRDefault="00333651">
      <w:pPr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 xml:space="preserve">Harbour Dues </w:t>
      </w:r>
      <w:r w:rsidR="00141773" w:rsidRPr="00062787">
        <w:rPr>
          <w:rFonts w:ascii="Arial Nova Light" w:hAnsi="Arial Nova Light"/>
          <w:color w:val="000000"/>
        </w:rPr>
        <w:t>£0.</w:t>
      </w:r>
      <w:r w:rsidR="00792C5E" w:rsidRPr="00062787">
        <w:rPr>
          <w:rFonts w:ascii="Arial Nova Light" w:hAnsi="Arial Nova Light"/>
          <w:color w:val="000000"/>
        </w:rPr>
        <w:t>5</w:t>
      </w:r>
      <w:r w:rsidR="00621267" w:rsidRPr="00062787">
        <w:rPr>
          <w:rFonts w:ascii="Arial Nova Light" w:hAnsi="Arial Nova Light"/>
          <w:color w:val="000000"/>
        </w:rPr>
        <w:t>3</w:t>
      </w:r>
      <w:r w:rsidR="003309C9" w:rsidRPr="00062787">
        <w:rPr>
          <w:rFonts w:ascii="Arial Nova Light" w:hAnsi="Arial Nova Light"/>
          <w:color w:val="000000"/>
        </w:rPr>
        <w:t xml:space="preserve"> </w:t>
      </w:r>
      <w:r w:rsidR="00141773" w:rsidRPr="00062787">
        <w:rPr>
          <w:rFonts w:ascii="Arial Nova Light" w:hAnsi="Arial Nova Light"/>
          <w:color w:val="000000"/>
        </w:rPr>
        <w:t>per G.T.</w:t>
      </w:r>
    </w:p>
    <w:p w14:paraId="56749E73" w14:textId="77777777" w:rsidR="00A760CB" w:rsidRPr="00062787" w:rsidRDefault="00316DAA" w:rsidP="00615D46">
      <w:pPr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     </w:t>
      </w:r>
      <w:r w:rsidR="007B3A30" w:rsidRPr="00062787">
        <w:rPr>
          <w:rFonts w:ascii="Arial Nova Light" w:hAnsi="Arial Nova Light"/>
          <w:color w:val="000000"/>
        </w:rPr>
        <w:t xml:space="preserve"> </w:t>
      </w:r>
      <w:r w:rsidRPr="00062787">
        <w:rPr>
          <w:rFonts w:ascii="Arial Nova Light" w:hAnsi="Arial Nova Light"/>
          <w:color w:val="000000"/>
        </w:rPr>
        <w:t xml:space="preserve">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</w:p>
    <w:p w14:paraId="52EF94B7" w14:textId="77777777" w:rsidR="00333651" w:rsidRPr="00062787" w:rsidRDefault="00333651">
      <w:pPr>
        <w:pStyle w:val="Heading2"/>
        <w:widowControl/>
        <w:tabs>
          <w:tab w:val="clear" w:pos="2340"/>
          <w:tab w:val="left" w:pos="2880"/>
        </w:tabs>
        <w:rPr>
          <w:rFonts w:ascii="Arial Nova Light" w:hAnsi="Arial Nova Light"/>
          <w:b/>
          <w:bCs/>
          <w:color w:val="000000"/>
        </w:rPr>
      </w:pPr>
      <w:r w:rsidRPr="00062787">
        <w:rPr>
          <w:rFonts w:ascii="Arial Nova Light" w:hAnsi="Arial Nova Light"/>
          <w:b/>
          <w:bCs/>
          <w:color w:val="000000"/>
        </w:rPr>
        <w:t>PASSENGER DUES</w:t>
      </w:r>
    </w:p>
    <w:p w14:paraId="4C2922BF" w14:textId="2BF3586C" w:rsidR="00E71CE8" w:rsidRPr="00062787" w:rsidRDefault="00022600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snapToGrid w:val="0"/>
          <w:color w:val="FF0000"/>
        </w:rPr>
      </w:pPr>
      <w:r w:rsidRPr="00062787">
        <w:rPr>
          <w:rFonts w:ascii="Arial Nova Light" w:hAnsi="Arial Nova Light"/>
          <w:snapToGrid w:val="0"/>
          <w:color w:val="000000"/>
        </w:rPr>
        <w:t>£1.</w:t>
      </w:r>
      <w:r w:rsidR="00621267" w:rsidRPr="00062787">
        <w:rPr>
          <w:rFonts w:ascii="Arial Nova Light" w:hAnsi="Arial Nova Light"/>
          <w:snapToGrid w:val="0"/>
          <w:color w:val="000000"/>
        </w:rPr>
        <w:t>7</w:t>
      </w:r>
      <w:r w:rsidR="00792C5E" w:rsidRPr="00062787">
        <w:rPr>
          <w:rFonts w:ascii="Arial Nova Light" w:hAnsi="Arial Nova Light"/>
          <w:snapToGrid w:val="0"/>
          <w:color w:val="000000"/>
        </w:rPr>
        <w:t>5</w:t>
      </w:r>
      <w:r w:rsidR="00333651" w:rsidRPr="00062787">
        <w:rPr>
          <w:rFonts w:ascii="Arial Nova Light" w:hAnsi="Arial Nova Light"/>
          <w:snapToGrid w:val="0"/>
          <w:color w:val="000000"/>
        </w:rPr>
        <w:t xml:space="preserve"> per </w:t>
      </w:r>
      <w:r w:rsidR="00141537" w:rsidRPr="00062787">
        <w:rPr>
          <w:rFonts w:ascii="Arial Nova Light" w:hAnsi="Arial Nova Light"/>
          <w:snapToGrid w:val="0"/>
          <w:color w:val="000000"/>
        </w:rPr>
        <w:t xml:space="preserve">passenger </w:t>
      </w:r>
      <w:r w:rsidR="00141773" w:rsidRPr="00062787">
        <w:rPr>
          <w:rFonts w:ascii="Arial Nova Light" w:hAnsi="Arial Nova Light"/>
          <w:snapToGrid w:val="0"/>
          <w:color w:val="FF0000"/>
        </w:rPr>
        <w:tab/>
      </w:r>
    </w:p>
    <w:p w14:paraId="6126D34D" w14:textId="77777777" w:rsidR="00A760CB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b/>
          <w:snapToGrid w:val="0"/>
          <w:color w:val="000000"/>
          <w:u w:val="single"/>
        </w:rPr>
      </w:pPr>
    </w:p>
    <w:p w14:paraId="2985099D" w14:textId="77777777" w:rsidR="00333651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b/>
          <w:snapToGrid w:val="0"/>
          <w:color w:val="000000"/>
          <w:u w:val="single"/>
        </w:rPr>
      </w:pPr>
      <w:r w:rsidRPr="00062787">
        <w:rPr>
          <w:rFonts w:ascii="Arial Nova Light" w:hAnsi="Arial Nova Light"/>
          <w:b/>
          <w:snapToGrid w:val="0"/>
          <w:color w:val="000000"/>
          <w:u w:val="single"/>
        </w:rPr>
        <w:t>ADMINISTRATION</w:t>
      </w:r>
      <w:r w:rsidR="007C3CC3" w:rsidRPr="00062787">
        <w:rPr>
          <w:rFonts w:ascii="Arial Nova Light" w:hAnsi="Arial Nova Light"/>
          <w:b/>
          <w:snapToGrid w:val="0"/>
          <w:color w:val="000000"/>
          <w:u w:val="single"/>
        </w:rPr>
        <w:t xml:space="preserve">/MANAGEMENT </w:t>
      </w:r>
      <w:r w:rsidRPr="00062787">
        <w:rPr>
          <w:rFonts w:ascii="Arial Nova Light" w:hAnsi="Arial Nova Light"/>
          <w:b/>
          <w:snapToGrid w:val="0"/>
          <w:color w:val="000000"/>
          <w:u w:val="single"/>
        </w:rPr>
        <w:t>FEE</w:t>
      </w:r>
    </w:p>
    <w:p w14:paraId="6FCEA14D" w14:textId="54250915" w:rsidR="00A760CB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snapToGrid w:val="0"/>
          <w:color w:val="000000"/>
        </w:rPr>
      </w:pPr>
      <w:r w:rsidRPr="00062787">
        <w:rPr>
          <w:rFonts w:ascii="Arial Nova Light" w:hAnsi="Arial Nova Light"/>
          <w:snapToGrid w:val="0"/>
          <w:color w:val="000000"/>
        </w:rPr>
        <w:t>£</w:t>
      </w:r>
      <w:r w:rsidR="00792C5E" w:rsidRPr="00062787">
        <w:rPr>
          <w:rFonts w:ascii="Arial Nova Light" w:hAnsi="Arial Nova Light"/>
          <w:snapToGrid w:val="0"/>
          <w:color w:val="000000"/>
        </w:rPr>
        <w:t>3</w:t>
      </w:r>
      <w:r w:rsidR="00621267" w:rsidRPr="00062787">
        <w:rPr>
          <w:rFonts w:ascii="Arial Nova Light" w:hAnsi="Arial Nova Light"/>
          <w:snapToGrid w:val="0"/>
          <w:color w:val="000000"/>
        </w:rPr>
        <w:t>2</w:t>
      </w:r>
      <w:r w:rsidR="00792C5E" w:rsidRPr="00062787">
        <w:rPr>
          <w:rFonts w:ascii="Arial Nova Light" w:hAnsi="Arial Nova Light"/>
          <w:snapToGrid w:val="0"/>
          <w:color w:val="000000"/>
        </w:rPr>
        <w:t>0</w:t>
      </w:r>
      <w:r w:rsidRPr="00062787">
        <w:rPr>
          <w:rFonts w:ascii="Arial Nova Light" w:hAnsi="Arial Nova Light"/>
          <w:snapToGrid w:val="0"/>
          <w:color w:val="000000"/>
        </w:rPr>
        <w:t>.00</w:t>
      </w:r>
    </w:p>
    <w:p w14:paraId="650EFBEF" w14:textId="77777777" w:rsidR="00A760CB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b/>
          <w:snapToGrid w:val="0"/>
          <w:color w:val="000000"/>
          <w:u w:val="single"/>
        </w:rPr>
      </w:pPr>
    </w:p>
    <w:p w14:paraId="0AE3EE7F" w14:textId="77777777" w:rsidR="00A760CB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b/>
          <w:snapToGrid w:val="0"/>
          <w:color w:val="000000"/>
          <w:u w:val="single"/>
        </w:rPr>
      </w:pPr>
      <w:r w:rsidRPr="00062787">
        <w:rPr>
          <w:rFonts w:ascii="Arial Nova Light" w:hAnsi="Arial Nova Light"/>
          <w:b/>
          <w:snapToGrid w:val="0"/>
          <w:color w:val="000000"/>
          <w:u w:val="single"/>
        </w:rPr>
        <w:t>SECURITY</w:t>
      </w:r>
    </w:p>
    <w:p w14:paraId="65413C7A" w14:textId="40B319D4" w:rsidR="00173F87" w:rsidRPr="00062787" w:rsidRDefault="00173F87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snapToGrid w:val="0"/>
          <w:color w:val="000000"/>
        </w:rPr>
      </w:pPr>
      <w:r w:rsidRPr="00062787">
        <w:rPr>
          <w:rFonts w:ascii="Arial Nova Light" w:hAnsi="Arial Nova Light"/>
          <w:snapToGrid w:val="0"/>
          <w:color w:val="000000"/>
        </w:rPr>
        <w:t>£</w:t>
      </w:r>
      <w:r w:rsidR="00621267" w:rsidRPr="00062787">
        <w:rPr>
          <w:rFonts w:ascii="Arial Nova Light" w:hAnsi="Arial Nova Light"/>
          <w:snapToGrid w:val="0"/>
          <w:color w:val="000000"/>
        </w:rPr>
        <w:t>290</w:t>
      </w:r>
      <w:r w:rsidRPr="00062787">
        <w:rPr>
          <w:rFonts w:ascii="Arial Nova Light" w:hAnsi="Arial Nova Light"/>
          <w:snapToGrid w:val="0"/>
          <w:color w:val="000000"/>
        </w:rPr>
        <w:t xml:space="preserve">.00   Security Marquee Hire  </w:t>
      </w:r>
    </w:p>
    <w:p w14:paraId="12B9F2F5" w14:textId="1FBD848C" w:rsidR="00A760CB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snapToGrid w:val="0"/>
          <w:color w:val="000000"/>
        </w:rPr>
      </w:pPr>
      <w:r w:rsidRPr="00062787">
        <w:rPr>
          <w:rFonts w:ascii="Arial Nova Light" w:hAnsi="Arial Nova Light"/>
          <w:snapToGrid w:val="0"/>
          <w:color w:val="000000"/>
        </w:rPr>
        <w:t>£</w:t>
      </w:r>
      <w:r w:rsidR="00792C5E" w:rsidRPr="00062787">
        <w:rPr>
          <w:rFonts w:ascii="Arial Nova Light" w:hAnsi="Arial Nova Light"/>
          <w:snapToGrid w:val="0"/>
          <w:color w:val="000000"/>
        </w:rPr>
        <w:t>2</w:t>
      </w:r>
      <w:r w:rsidR="00621267" w:rsidRPr="00062787">
        <w:rPr>
          <w:rFonts w:ascii="Arial Nova Light" w:hAnsi="Arial Nova Light"/>
          <w:snapToGrid w:val="0"/>
          <w:color w:val="000000"/>
        </w:rPr>
        <w:t>8.0</w:t>
      </w:r>
      <w:r w:rsidRPr="00062787">
        <w:rPr>
          <w:rFonts w:ascii="Arial Nova Light" w:hAnsi="Arial Nova Light"/>
          <w:snapToGrid w:val="0"/>
          <w:color w:val="000000"/>
        </w:rPr>
        <w:t xml:space="preserve">0 </w:t>
      </w:r>
      <w:r w:rsidR="00173F87" w:rsidRPr="00062787">
        <w:rPr>
          <w:rFonts w:ascii="Arial Nova Light" w:hAnsi="Arial Nova Light"/>
          <w:snapToGrid w:val="0"/>
          <w:color w:val="000000"/>
        </w:rPr>
        <w:t xml:space="preserve">    Security personnel per person </w:t>
      </w:r>
      <w:r w:rsidRPr="00062787">
        <w:rPr>
          <w:rFonts w:ascii="Arial Nova Light" w:hAnsi="Arial Nova Light"/>
          <w:snapToGrid w:val="0"/>
          <w:color w:val="000000"/>
        </w:rPr>
        <w:t>per hour</w:t>
      </w:r>
    </w:p>
    <w:p w14:paraId="02AA644B" w14:textId="77777777" w:rsidR="00333651" w:rsidRPr="00062787" w:rsidRDefault="00333651">
      <w:pPr>
        <w:pStyle w:val="Header"/>
        <w:widowControl w:val="0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snapToGrid w:val="0"/>
          <w:color w:val="000000"/>
        </w:rPr>
      </w:pPr>
    </w:p>
    <w:p w14:paraId="5DD64911" w14:textId="77777777" w:rsidR="00333651" w:rsidRPr="00062787" w:rsidRDefault="00333651" w:rsidP="001E5554">
      <w:pPr>
        <w:pStyle w:val="Heading4"/>
        <w:rPr>
          <w:rFonts w:ascii="Arial Nova Light" w:hAnsi="Arial Nova Light"/>
        </w:rPr>
      </w:pPr>
      <w:r w:rsidRPr="00062787">
        <w:rPr>
          <w:rFonts w:ascii="Arial Nova Light" w:hAnsi="Arial Nova Light"/>
          <w:color w:val="000000"/>
        </w:rPr>
        <w:t>PILOTAGE SERVICES</w:t>
      </w:r>
    </w:p>
    <w:p w14:paraId="00BDF762" w14:textId="77777777" w:rsidR="00E71CE8" w:rsidRPr="00062787" w:rsidRDefault="00E71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>VAT zero-rated.</w:t>
      </w:r>
    </w:p>
    <w:p w14:paraId="12C82BCB" w14:textId="77777777" w:rsidR="00C05063" w:rsidRPr="00062787" w:rsidRDefault="00E71CE8" w:rsidP="00615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 Light" w:hAnsi="Arial Nova Light"/>
          <w:snapToGrid w:val="0"/>
          <w:color w:val="000000"/>
          <w:u w:val="single"/>
        </w:rPr>
      </w:pPr>
      <w:r w:rsidRPr="00062787">
        <w:rPr>
          <w:rFonts w:ascii="Arial Nova Light" w:hAnsi="Arial Nova Light"/>
          <w:b/>
          <w:bCs/>
          <w:color w:val="000000"/>
        </w:rPr>
        <w:t xml:space="preserve">                                                                                                                                           </w:t>
      </w:r>
    </w:p>
    <w:p w14:paraId="2444BF46" w14:textId="78505735" w:rsidR="00D851B5" w:rsidRPr="00062787" w:rsidRDefault="00BE43D1" w:rsidP="00BE4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 Light" w:hAnsi="Arial Nova Light"/>
          <w:b/>
          <w:snapToGrid w:val="0"/>
          <w:color w:val="000000"/>
          <w:u w:val="single"/>
        </w:rPr>
      </w:pPr>
      <w:r w:rsidRPr="00062787">
        <w:rPr>
          <w:rFonts w:ascii="Arial Nova Light" w:hAnsi="Arial Nova Light"/>
          <w:b/>
          <w:snapToGrid w:val="0"/>
          <w:color w:val="000000"/>
          <w:u w:val="single"/>
        </w:rPr>
        <w:t>Charges for Pilotage</w:t>
      </w:r>
    </w:p>
    <w:p w14:paraId="3D2E87BC" w14:textId="77777777" w:rsidR="002A599C" w:rsidRPr="00062787" w:rsidRDefault="002A599C" w:rsidP="00BE4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 Light" w:hAnsi="Arial Nova Light"/>
          <w:b/>
          <w:snapToGrid w:val="0"/>
          <w:color w:val="000000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5"/>
        <w:gridCol w:w="516"/>
        <w:gridCol w:w="1879"/>
      </w:tblGrid>
      <w:tr w:rsidR="002A599C" w:rsidRPr="00062787" w14:paraId="77EB24DD" w14:textId="77777777" w:rsidTr="002A599C">
        <w:trPr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56D9" w14:textId="77777777" w:rsidR="002A599C" w:rsidRPr="00062787" w:rsidRDefault="002A599C" w:rsidP="002A599C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  <w:r w:rsidRPr="00062787">
              <w:rPr>
                <w:rFonts w:ascii="Arial Nova Light" w:hAnsi="Arial Nova Light"/>
                <w:b/>
                <w:bCs/>
                <w:lang w:val="en-GB" w:eastAsia="en-GB"/>
              </w:rPr>
              <w:t>North Sturbridge to Berth (EAST)</w:t>
            </w:r>
          </w:p>
        </w:tc>
      </w:tr>
      <w:tr w:rsidR="002A599C" w:rsidRPr="00062787" w14:paraId="54B3787F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23B2F" w14:textId="77777777" w:rsidR="002A599C" w:rsidRPr="00062787" w:rsidRDefault="002A599C" w:rsidP="002A599C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Size Vessel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2827" w14:textId="77777777" w:rsidR="002A599C" w:rsidRPr="00062787" w:rsidRDefault="002A599C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Total</w:t>
            </w:r>
          </w:p>
        </w:tc>
      </w:tr>
      <w:tr w:rsidR="00E40C17" w:rsidRPr="00062787" w14:paraId="6899411D" w14:textId="77777777" w:rsidTr="00A5702A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27B07" w14:textId="4F63AB88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48m – 64m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7BAF" w14:textId="3BC6721D" w:rsidR="00E40C17" w:rsidRPr="00062787" w:rsidRDefault="00E40C17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£7</w:t>
            </w:r>
            <w:r w:rsidR="00991F15" w:rsidRPr="00062787">
              <w:rPr>
                <w:rFonts w:ascii="Arial Nova Light" w:hAnsi="Arial Nova Light"/>
                <w:color w:val="000000"/>
                <w:lang w:eastAsia="en-GB"/>
              </w:rPr>
              <w:t>1</w:t>
            </w:r>
            <w:r w:rsidRPr="00062787">
              <w:rPr>
                <w:rFonts w:ascii="Arial Nova Light" w:hAnsi="Arial Nova Light"/>
                <w:color w:val="000000"/>
                <w:lang w:eastAsia="en-GB"/>
              </w:rPr>
              <w:t>5</w:t>
            </w:r>
          </w:p>
        </w:tc>
      </w:tr>
      <w:tr w:rsidR="00E40C17" w:rsidRPr="00062787" w14:paraId="1570084B" w14:textId="77777777" w:rsidTr="00A5702A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3E1E1" w14:textId="7CB4871B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 xml:space="preserve"> 65m – 74m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679A" w14:textId="24AC497A" w:rsidR="00E40C17" w:rsidRPr="00062787" w:rsidRDefault="00E40C17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£7</w:t>
            </w:r>
            <w:r w:rsidR="00991F15" w:rsidRPr="00062787">
              <w:rPr>
                <w:rFonts w:ascii="Arial Nova Light" w:hAnsi="Arial Nova Light"/>
                <w:color w:val="000000"/>
                <w:lang w:eastAsia="en-GB"/>
              </w:rPr>
              <w:t>75</w:t>
            </w:r>
          </w:p>
        </w:tc>
      </w:tr>
      <w:tr w:rsidR="00E40C17" w:rsidRPr="00062787" w14:paraId="469422E2" w14:textId="77777777" w:rsidTr="00A5702A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ADEA5" w14:textId="76D22632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75m - 89m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18AB" w14:textId="40F508CB" w:rsidR="00E40C17" w:rsidRPr="00062787" w:rsidRDefault="00E40C17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£8</w:t>
            </w:r>
            <w:r w:rsidR="00190CF4" w:rsidRPr="00062787">
              <w:rPr>
                <w:rFonts w:ascii="Arial Nova Light" w:hAnsi="Arial Nova Light"/>
                <w:color w:val="000000"/>
                <w:lang w:eastAsia="en-GB"/>
              </w:rPr>
              <w:t>40</w:t>
            </w:r>
          </w:p>
        </w:tc>
      </w:tr>
      <w:tr w:rsidR="00E40C17" w:rsidRPr="00062787" w14:paraId="26CF1891" w14:textId="77777777" w:rsidTr="00A5702A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B19E2" w14:textId="5DEF26FE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&gt;90m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CE84" w14:textId="1D962F17" w:rsidR="00E40C17" w:rsidRPr="00062787" w:rsidRDefault="00E40C17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£8</w:t>
            </w:r>
            <w:r w:rsidR="00190CF4" w:rsidRPr="00062787">
              <w:rPr>
                <w:rFonts w:ascii="Arial Nova Light" w:hAnsi="Arial Nova Light"/>
                <w:color w:val="000000"/>
                <w:lang w:eastAsia="en-GB"/>
              </w:rPr>
              <w:t>75</w:t>
            </w:r>
          </w:p>
        </w:tc>
      </w:tr>
      <w:tr w:rsidR="00E40C17" w:rsidRPr="00062787" w14:paraId="244073C1" w14:textId="77777777" w:rsidTr="002A599C">
        <w:trPr>
          <w:trHeight w:val="340"/>
        </w:trPr>
        <w:tc>
          <w:tcPr>
            <w:tcW w:w="3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4133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2927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9F19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</w:p>
        </w:tc>
      </w:tr>
      <w:tr w:rsidR="00E40C17" w:rsidRPr="00062787" w14:paraId="7E305D91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781F" w14:textId="77777777" w:rsidR="00E40C17" w:rsidRPr="00062787" w:rsidRDefault="00E40C17" w:rsidP="00E40C17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  <w:r w:rsidRPr="00062787">
              <w:rPr>
                <w:rFonts w:ascii="Arial Nova Light" w:hAnsi="Arial Nova Light"/>
                <w:b/>
                <w:bCs/>
                <w:lang w:val="en-GB" w:eastAsia="en-GB"/>
              </w:rPr>
              <w:t xml:space="preserve"> Western Limit to Berth (WEST)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2245" w14:textId="77777777" w:rsidR="00E40C17" w:rsidRPr="00062787" w:rsidRDefault="00E40C17" w:rsidP="00E40C17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</w:p>
        </w:tc>
      </w:tr>
      <w:tr w:rsidR="00E40C17" w:rsidRPr="00062787" w14:paraId="0333F004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26F0D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Size Vessel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0470" w14:textId="77777777" w:rsidR="00E40C17" w:rsidRPr="00062787" w:rsidRDefault="00E40C17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Total</w:t>
            </w:r>
          </w:p>
        </w:tc>
      </w:tr>
      <w:tr w:rsidR="00597A39" w:rsidRPr="00062787" w14:paraId="0CF59180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B77AE" w14:textId="2CA3C9F0" w:rsidR="00597A39" w:rsidRPr="00062787" w:rsidRDefault="00597A39" w:rsidP="00597A39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48m – 64m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130" w14:textId="62AE7130" w:rsidR="00597A39" w:rsidRPr="00062787" w:rsidRDefault="00597A39" w:rsidP="00D0059C">
            <w:pPr>
              <w:jc w:val="center"/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£5</w:t>
            </w:r>
            <w:r w:rsidR="00DE7D95" w:rsidRPr="00062787">
              <w:rPr>
                <w:rFonts w:ascii="Arial Nova Light" w:hAnsi="Arial Nova Light"/>
                <w:color w:val="000000"/>
                <w:lang w:eastAsia="en-GB"/>
              </w:rPr>
              <w:t>8</w:t>
            </w:r>
            <w:r w:rsidRPr="00062787">
              <w:rPr>
                <w:rFonts w:ascii="Arial Nova Light" w:hAnsi="Arial Nova Light"/>
                <w:color w:val="000000"/>
                <w:lang w:eastAsia="en-GB"/>
              </w:rPr>
              <w:t>0</w:t>
            </w:r>
          </w:p>
        </w:tc>
      </w:tr>
      <w:tr w:rsidR="00597A39" w:rsidRPr="00062787" w14:paraId="6C849F4A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B986B" w14:textId="72EE17FC" w:rsidR="00597A39" w:rsidRPr="00062787" w:rsidRDefault="00597A39" w:rsidP="00597A39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 xml:space="preserve"> 65m – 74m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E32" w14:textId="0610F393" w:rsidR="00597A39" w:rsidRPr="00062787" w:rsidRDefault="00597A39" w:rsidP="00D0059C">
            <w:pPr>
              <w:jc w:val="center"/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lang w:eastAsia="en-GB"/>
              </w:rPr>
              <w:t>£6</w:t>
            </w:r>
            <w:r w:rsidR="00DE7D95" w:rsidRPr="00062787">
              <w:rPr>
                <w:rFonts w:ascii="Arial Nova Light" w:hAnsi="Arial Nova Light"/>
                <w:lang w:eastAsia="en-GB"/>
              </w:rPr>
              <w:t>30</w:t>
            </w:r>
          </w:p>
        </w:tc>
      </w:tr>
      <w:tr w:rsidR="00597A39" w:rsidRPr="00062787" w14:paraId="5DA438A5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FD8AA" w14:textId="30C51BBF" w:rsidR="00597A39" w:rsidRPr="00062787" w:rsidRDefault="00597A39" w:rsidP="00597A39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75m - 89m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21F" w14:textId="12F3C89C" w:rsidR="00597A39" w:rsidRPr="00062787" w:rsidRDefault="00597A39" w:rsidP="00D0059C">
            <w:pPr>
              <w:jc w:val="center"/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£6</w:t>
            </w:r>
            <w:r w:rsidR="00CA56FA" w:rsidRPr="00062787">
              <w:rPr>
                <w:rFonts w:ascii="Arial Nova Light" w:hAnsi="Arial Nova Light"/>
                <w:color w:val="000000"/>
                <w:lang w:eastAsia="en-GB"/>
              </w:rPr>
              <w:t>8</w:t>
            </w:r>
            <w:r w:rsidRPr="00062787">
              <w:rPr>
                <w:rFonts w:ascii="Arial Nova Light" w:hAnsi="Arial Nova Light"/>
                <w:color w:val="000000"/>
                <w:lang w:eastAsia="en-GB"/>
              </w:rPr>
              <w:t>5</w:t>
            </w:r>
          </w:p>
        </w:tc>
      </w:tr>
      <w:tr w:rsidR="00597A39" w:rsidRPr="00062787" w14:paraId="11329B8F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E0C27" w14:textId="1A6CC012" w:rsidR="00597A39" w:rsidRPr="00062787" w:rsidRDefault="00597A39" w:rsidP="00597A39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&gt;90m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176" w14:textId="66224DDF" w:rsidR="00597A39" w:rsidRPr="00062787" w:rsidRDefault="00597A39" w:rsidP="00D0059C">
            <w:pPr>
              <w:jc w:val="center"/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£7</w:t>
            </w:r>
            <w:r w:rsidR="00CA56FA" w:rsidRPr="00062787">
              <w:rPr>
                <w:rFonts w:ascii="Arial Nova Light" w:hAnsi="Arial Nova Light"/>
                <w:color w:val="000000"/>
                <w:lang w:eastAsia="en-GB"/>
              </w:rPr>
              <w:t>15</w:t>
            </w:r>
          </w:p>
        </w:tc>
      </w:tr>
      <w:tr w:rsidR="00E40C17" w:rsidRPr="00062787" w14:paraId="55ABA1F6" w14:textId="77777777" w:rsidTr="002A599C">
        <w:trPr>
          <w:trHeight w:val="340"/>
        </w:trPr>
        <w:tc>
          <w:tcPr>
            <w:tcW w:w="3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6FD3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D84F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FC55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</w:p>
        </w:tc>
      </w:tr>
    </w:tbl>
    <w:p w14:paraId="4B71115E" w14:textId="7A197F2F" w:rsidR="009E47B8" w:rsidRPr="00062787" w:rsidRDefault="009E47B8">
      <w:pPr>
        <w:rPr>
          <w:rFonts w:ascii="Arial Nova Light" w:hAnsi="Arial Nova 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5"/>
        <w:gridCol w:w="516"/>
        <w:gridCol w:w="1879"/>
      </w:tblGrid>
      <w:tr w:rsidR="00E40C17" w:rsidRPr="00062787" w14:paraId="27A65F85" w14:textId="77777777" w:rsidTr="002A599C">
        <w:trPr>
          <w:trHeight w:val="340"/>
        </w:trPr>
        <w:tc>
          <w:tcPr>
            <w:tcW w:w="3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14E22" w14:textId="3E82109E" w:rsidR="00E40C17" w:rsidRPr="00062787" w:rsidRDefault="00E40C17" w:rsidP="00E40C17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  <w:r w:rsidRPr="00062787">
              <w:rPr>
                <w:rFonts w:ascii="Arial Nova Light" w:hAnsi="Arial Nova Light"/>
                <w:b/>
                <w:bCs/>
                <w:lang w:val="en-GB" w:eastAsia="en-GB"/>
              </w:rPr>
              <w:lastRenderedPageBreak/>
              <w:t>Cowes Roads to Berth (PC)/ Berth to berth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3A2D" w14:textId="77777777" w:rsidR="00E40C17" w:rsidRPr="00062787" w:rsidRDefault="00E40C17" w:rsidP="00E40C17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C9A9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</w:p>
        </w:tc>
      </w:tr>
      <w:tr w:rsidR="00E40C17" w:rsidRPr="00062787" w14:paraId="14FE52F3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B2ACA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Size Vessel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4713" w14:textId="77777777" w:rsidR="00E40C17" w:rsidRPr="00062787" w:rsidRDefault="00E40C17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Total</w:t>
            </w:r>
          </w:p>
        </w:tc>
      </w:tr>
      <w:tr w:rsidR="00FF6F81" w:rsidRPr="00062787" w14:paraId="7B5E64FA" w14:textId="77777777" w:rsidTr="00CD3BCD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10186" w14:textId="59EEDC24" w:rsidR="00FF6F81" w:rsidRPr="00062787" w:rsidRDefault="00FF6F81" w:rsidP="00FF6F81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48m – 64m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7C4C" w14:textId="651510A8" w:rsidR="00FF6F81" w:rsidRPr="00062787" w:rsidRDefault="00FF6F81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£4</w:t>
            </w:r>
            <w:r w:rsidR="000623AD" w:rsidRPr="00062787">
              <w:rPr>
                <w:rFonts w:ascii="Arial Nova Light" w:hAnsi="Arial Nova Light"/>
                <w:color w:val="000000"/>
                <w:lang w:eastAsia="en-GB"/>
              </w:rPr>
              <w:t>4</w:t>
            </w:r>
            <w:r w:rsidRPr="00062787">
              <w:rPr>
                <w:rFonts w:ascii="Arial Nova Light" w:hAnsi="Arial Nova Light"/>
                <w:color w:val="000000"/>
                <w:lang w:eastAsia="en-GB"/>
              </w:rPr>
              <w:t>5</w:t>
            </w:r>
          </w:p>
        </w:tc>
      </w:tr>
      <w:tr w:rsidR="00FF6F81" w:rsidRPr="00062787" w14:paraId="21A2C4C4" w14:textId="77777777" w:rsidTr="00CD3BCD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4C6F9" w14:textId="01D661D1" w:rsidR="00FF6F81" w:rsidRPr="00062787" w:rsidRDefault="00FF6F81" w:rsidP="00FF6F81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65m – 74m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3DEA" w14:textId="7855AE02" w:rsidR="00FF6F81" w:rsidRPr="00062787" w:rsidRDefault="00FF6F81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£4</w:t>
            </w:r>
            <w:r w:rsidR="000623AD" w:rsidRPr="00062787">
              <w:rPr>
                <w:rFonts w:ascii="Arial Nova Light" w:hAnsi="Arial Nova Light"/>
                <w:color w:val="000000"/>
                <w:lang w:eastAsia="en-GB"/>
              </w:rPr>
              <w:t>8</w:t>
            </w:r>
            <w:r w:rsidRPr="00062787">
              <w:rPr>
                <w:rFonts w:ascii="Arial Nova Light" w:hAnsi="Arial Nova Light"/>
                <w:color w:val="000000"/>
                <w:lang w:eastAsia="en-GB"/>
              </w:rPr>
              <w:t>5</w:t>
            </w:r>
          </w:p>
        </w:tc>
      </w:tr>
      <w:tr w:rsidR="00FF6F81" w:rsidRPr="00062787" w14:paraId="7828E18B" w14:textId="77777777" w:rsidTr="00CD3BCD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35C2E" w14:textId="72920004" w:rsidR="00FF6F81" w:rsidRPr="00062787" w:rsidRDefault="00FF6F81" w:rsidP="00FF6F81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75m - 89m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4DC5" w14:textId="73EF59E6" w:rsidR="00FF6F81" w:rsidRPr="00062787" w:rsidRDefault="00FF6F81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£5</w:t>
            </w:r>
            <w:r w:rsidR="000623AD" w:rsidRPr="00062787">
              <w:rPr>
                <w:rFonts w:ascii="Arial Nova Light" w:hAnsi="Arial Nova Light"/>
                <w:color w:val="000000"/>
                <w:lang w:eastAsia="en-GB"/>
              </w:rPr>
              <w:t>3</w:t>
            </w:r>
            <w:r w:rsidRPr="00062787">
              <w:rPr>
                <w:rFonts w:ascii="Arial Nova Light" w:hAnsi="Arial Nova Light"/>
                <w:color w:val="000000"/>
                <w:lang w:eastAsia="en-GB"/>
              </w:rPr>
              <w:t>0</w:t>
            </w:r>
          </w:p>
        </w:tc>
      </w:tr>
      <w:tr w:rsidR="00FF6F81" w:rsidRPr="00062787" w14:paraId="2EF03893" w14:textId="77777777" w:rsidTr="00CD3BCD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17E84" w14:textId="09047DD7" w:rsidR="00FF6F81" w:rsidRPr="00062787" w:rsidRDefault="00FF6F81" w:rsidP="00FF6F81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&gt;90m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72E1" w14:textId="28A8AC54" w:rsidR="00FF6F81" w:rsidRPr="00062787" w:rsidRDefault="00FF6F81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eastAsia="en-GB"/>
              </w:rPr>
              <w:t>£5</w:t>
            </w:r>
            <w:r w:rsidR="000623AD" w:rsidRPr="00062787">
              <w:rPr>
                <w:rFonts w:ascii="Arial Nova Light" w:hAnsi="Arial Nova Light"/>
                <w:color w:val="000000"/>
                <w:lang w:eastAsia="en-GB"/>
              </w:rPr>
              <w:t>5</w:t>
            </w:r>
            <w:r w:rsidRPr="00062787">
              <w:rPr>
                <w:rFonts w:ascii="Arial Nova Light" w:hAnsi="Arial Nova Light"/>
                <w:color w:val="000000"/>
                <w:lang w:eastAsia="en-GB"/>
              </w:rPr>
              <w:t>5</w:t>
            </w:r>
          </w:p>
        </w:tc>
      </w:tr>
      <w:tr w:rsidR="00FF6F81" w:rsidRPr="00062787" w14:paraId="08638169" w14:textId="77777777" w:rsidTr="002A599C">
        <w:trPr>
          <w:trHeight w:val="340"/>
        </w:trPr>
        <w:tc>
          <w:tcPr>
            <w:tcW w:w="3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3B0A" w14:textId="77777777" w:rsidR="00FF6F81" w:rsidRPr="00062787" w:rsidRDefault="00FF6F81" w:rsidP="00FF6F81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CE18" w14:textId="77777777" w:rsidR="00FF6F81" w:rsidRPr="00062787" w:rsidRDefault="00FF6F81" w:rsidP="00FF6F81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31EE" w14:textId="77777777" w:rsidR="00FF6F81" w:rsidRPr="00062787" w:rsidRDefault="00FF6F81" w:rsidP="00FF6F81">
            <w:pPr>
              <w:rPr>
                <w:rFonts w:ascii="Arial Nova Light" w:hAnsi="Arial Nova Light"/>
                <w:lang w:val="en-GB" w:eastAsia="en-GB"/>
              </w:rPr>
            </w:pPr>
          </w:p>
        </w:tc>
      </w:tr>
    </w:tbl>
    <w:p w14:paraId="117DBE88" w14:textId="77777777" w:rsidR="00BE43D1" w:rsidRPr="00062787" w:rsidRDefault="00BE43D1" w:rsidP="00BE43D1">
      <w:pPr>
        <w:pStyle w:val="Heading5"/>
        <w:rPr>
          <w:rFonts w:ascii="Arial Nova Light" w:hAnsi="Arial Nova Light"/>
          <w:b/>
          <w:bCs/>
          <w:color w:val="000000"/>
        </w:rPr>
      </w:pPr>
      <w:r w:rsidRPr="00062787">
        <w:rPr>
          <w:rFonts w:ascii="Arial Nova Light" w:hAnsi="Arial Nova Light"/>
          <w:b/>
          <w:bCs/>
          <w:color w:val="000000"/>
        </w:rPr>
        <w:t>Notes/Other Services</w:t>
      </w:r>
    </w:p>
    <w:p w14:paraId="20032453" w14:textId="77777777" w:rsidR="00BE43D1" w:rsidRPr="00062787" w:rsidRDefault="00BE43D1" w:rsidP="00BE43D1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>St Helens, North Sturbridge or Western Limits to Cowes Roads anchorage or mooring buoy – applicable rate to/from berth will apply.</w:t>
      </w:r>
    </w:p>
    <w:p w14:paraId="3395517B" w14:textId="77777777" w:rsidR="00BE43D1" w:rsidRPr="00062787" w:rsidRDefault="00BE43D1" w:rsidP="00BE43D1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color w:val="000000"/>
        </w:rPr>
      </w:pPr>
    </w:p>
    <w:p w14:paraId="0263A08C" w14:textId="77777777" w:rsidR="00BE43D1" w:rsidRPr="00062787" w:rsidRDefault="00BE43D1" w:rsidP="00BE43D1">
      <w:pPr>
        <w:pStyle w:val="Heading4"/>
        <w:rPr>
          <w:rFonts w:ascii="Arial Nova Light" w:hAnsi="Arial Nova Light"/>
          <w:bCs/>
          <w:snapToGrid/>
          <w:color w:val="000000"/>
        </w:rPr>
      </w:pPr>
      <w:r w:rsidRPr="00062787">
        <w:rPr>
          <w:rFonts w:ascii="Arial Nova Light" w:hAnsi="Arial Nova Light"/>
          <w:bCs/>
          <w:snapToGrid/>
          <w:color w:val="000000"/>
        </w:rPr>
        <w:t>St Helens</w:t>
      </w:r>
    </w:p>
    <w:p w14:paraId="4312CB90" w14:textId="77777777" w:rsidR="00BE43D1" w:rsidRPr="00062787" w:rsidRDefault="00BE43D1" w:rsidP="00BE43D1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>Vessels requesting or requiring a pilot from St Helens will be charged at 25% uplift on the North Sturbridge charge.</w:t>
      </w:r>
    </w:p>
    <w:p w14:paraId="43182FB4" w14:textId="77777777" w:rsidR="00BE43D1" w:rsidRPr="00062787" w:rsidRDefault="00BE43D1" w:rsidP="00BE43D1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color w:val="000000"/>
        </w:rPr>
      </w:pPr>
    </w:p>
    <w:p w14:paraId="11EAD573" w14:textId="77777777" w:rsidR="00BE43D1" w:rsidRPr="00062787" w:rsidRDefault="00BE43D1" w:rsidP="00BE43D1">
      <w:pPr>
        <w:pStyle w:val="Heading5"/>
        <w:rPr>
          <w:rFonts w:ascii="Arial Nova Light" w:hAnsi="Arial Nova Light"/>
          <w:b/>
          <w:bCs/>
          <w:color w:val="000000"/>
        </w:rPr>
      </w:pPr>
      <w:r w:rsidRPr="00062787">
        <w:rPr>
          <w:rFonts w:ascii="Arial Nova Light" w:hAnsi="Arial Nova Light"/>
          <w:b/>
          <w:bCs/>
          <w:color w:val="000000"/>
        </w:rPr>
        <w:t>Towage</w:t>
      </w:r>
    </w:p>
    <w:p w14:paraId="790B5412" w14:textId="77777777" w:rsidR="00BE43D1" w:rsidRPr="00062787" w:rsidRDefault="00BE43D1" w:rsidP="00BE43D1">
      <w:pPr>
        <w:pStyle w:val="BodyText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 xml:space="preserve">Vessels under towage </w:t>
      </w:r>
      <w:proofErr w:type="gramStart"/>
      <w:r w:rsidRPr="00062787">
        <w:rPr>
          <w:rFonts w:ascii="Arial Nova Light" w:hAnsi="Arial Nova Light"/>
          <w:color w:val="000000"/>
        </w:rPr>
        <w:t>subject</w:t>
      </w:r>
      <w:proofErr w:type="gramEnd"/>
      <w:r w:rsidRPr="00062787">
        <w:rPr>
          <w:rFonts w:ascii="Arial Nova Light" w:hAnsi="Arial Nova Light"/>
          <w:color w:val="000000"/>
        </w:rPr>
        <w:t xml:space="preserve"> to a 50% surcharge of the pilot charge dependent on the details and restrictions of the tow.</w:t>
      </w:r>
    </w:p>
    <w:p w14:paraId="42A538B1" w14:textId="77777777" w:rsidR="00BE43D1" w:rsidRPr="00062787" w:rsidRDefault="00BE43D1" w:rsidP="00BE43D1">
      <w:pPr>
        <w:pStyle w:val="BodyText"/>
        <w:rPr>
          <w:rFonts w:ascii="Arial Nova Light" w:hAnsi="Arial Nova Light"/>
          <w:color w:val="000000"/>
        </w:rPr>
      </w:pPr>
    </w:p>
    <w:p w14:paraId="577CA568" w14:textId="77777777" w:rsidR="00BE43D1" w:rsidRPr="00062787" w:rsidRDefault="00BE43D1" w:rsidP="00BE43D1">
      <w:pPr>
        <w:pStyle w:val="Heading5"/>
        <w:rPr>
          <w:rFonts w:ascii="Arial Nova Light" w:hAnsi="Arial Nova Light"/>
          <w:b/>
          <w:bCs/>
          <w:color w:val="000000"/>
        </w:rPr>
      </w:pPr>
      <w:r w:rsidRPr="00062787">
        <w:rPr>
          <w:rFonts w:ascii="Arial Nova Light" w:hAnsi="Arial Nova Light"/>
          <w:b/>
          <w:bCs/>
          <w:color w:val="000000"/>
        </w:rPr>
        <w:t>Attendance</w:t>
      </w:r>
    </w:p>
    <w:p w14:paraId="63E26F14" w14:textId="7D9A7C4F" w:rsidR="00BE43D1" w:rsidRPr="00062787" w:rsidRDefault="00BE43D1" w:rsidP="00BE43D1">
      <w:pPr>
        <w:pStyle w:val="BodyText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 xml:space="preserve">Detention Waiting Time over ½ </w:t>
      </w:r>
      <w:proofErr w:type="gramStart"/>
      <w:r w:rsidRPr="00062787">
        <w:rPr>
          <w:rFonts w:ascii="Arial Nova Light" w:hAnsi="Arial Nova Light"/>
          <w:color w:val="000000"/>
        </w:rPr>
        <w:t xml:space="preserve">hour  </w:t>
      </w:r>
      <w:r w:rsidRPr="00062787">
        <w:rPr>
          <w:rFonts w:ascii="Arial Nova Light" w:hAnsi="Arial Nova Light"/>
          <w:color w:val="000000"/>
        </w:rPr>
        <w:tab/>
      </w:r>
      <w:proofErr w:type="gramEnd"/>
      <w:r w:rsidRPr="00062787">
        <w:rPr>
          <w:rFonts w:ascii="Arial Nova Light" w:hAnsi="Arial Nova Light"/>
          <w:color w:val="000000"/>
        </w:rPr>
        <w:tab/>
        <w:t xml:space="preserve">Pilot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      £</w:t>
      </w:r>
      <w:r w:rsidR="008C037D" w:rsidRPr="00062787">
        <w:rPr>
          <w:rFonts w:ascii="Arial Nova Light" w:hAnsi="Arial Nova Light"/>
          <w:color w:val="000000"/>
        </w:rPr>
        <w:t>9</w:t>
      </w:r>
      <w:r w:rsidR="000623AD" w:rsidRPr="00062787">
        <w:rPr>
          <w:rFonts w:ascii="Arial Nova Light" w:hAnsi="Arial Nova Light"/>
          <w:color w:val="000000"/>
        </w:rPr>
        <w:t>5</w:t>
      </w:r>
      <w:r w:rsidRPr="00062787">
        <w:rPr>
          <w:rFonts w:ascii="Arial Nova Light" w:hAnsi="Arial Nova Light"/>
          <w:color w:val="000000"/>
        </w:rPr>
        <w:t xml:space="preserve"> per hour.</w:t>
      </w:r>
    </w:p>
    <w:p w14:paraId="00CC4C7A" w14:textId="2C4A4C7C" w:rsidR="00BE43D1" w:rsidRPr="00062787" w:rsidRDefault="00BE43D1" w:rsidP="00BE43D1">
      <w:pPr>
        <w:pStyle w:val="BodyText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          </w:t>
      </w:r>
      <w:r w:rsidRPr="00062787">
        <w:rPr>
          <w:rFonts w:ascii="Arial Nova Light" w:hAnsi="Arial Nova Light"/>
          <w:color w:val="000000"/>
        </w:rPr>
        <w:tab/>
        <w:t>Pilot and Pilot Boat    £</w:t>
      </w:r>
      <w:r w:rsidR="002A599C" w:rsidRPr="00062787">
        <w:rPr>
          <w:rFonts w:ascii="Arial Nova Light" w:hAnsi="Arial Nova Light"/>
          <w:color w:val="000000"/>
        </w:rPr>
        <w:t>1</w:t>
      </w:r>
      <w:r w:rsidR="00C0734E" w:rsidRPr="00062787">
        <w:rPr>
          <w:rFonts w:ascii="Arial Nova Light" w:hAnsi="Arial Nova Light"/>
          <w:color w:val="000000"/>
        </w:rPr>
        <w:t>90</w:t>
      </w:r>
      <w:r w:rsidR="00252DBA" w:rsidRPr="00062787">
        <w:rPr>
          <w:rFonts w:ascii="Arial Nova Light" w:hAnsi="Arial Nova Light"/>
          <w:color w:val="000000"/>
        </w:rPr>
        <w:t xml:space="preserve"> </w:t>
      </w:r>
      <w:r w:rsidR="00D851B5" w:rsidRPr="00062787">
        <w:rPr>
          <w:rFonts w:ascii="Arial Nova Light" w:hAnsi="Arial Nova Light"/>
          <w:color w:val="000000"/>
        </w:rPr>
        <w:t>per hour</w:t>
      </w:r>
    </w:p>
    <w:p w14:paraId="6AF29EFE" w14:textId="77777777" w:rsidR="00062787" w:rsidRDefault="00062787" w:rsidP="00D851B5">
      <w:pPr>
        <w:pStyle w:val="BodyText"/>
        <w:rPr>
          <w:rFonts w:ascii="Arial Nova Light" w:hAnsi="Arial Nova Light"/>
          <w:color w:val="000000"/>
        </w:rPr>
      </w:pPr>
    </w:p>
    <w:p w14:paraId="389EA19D" w14:textId="329DCDF3" w:rsidR="00BE43D1" w:rsidRPr="00062787" w:rsidRDefault="00BE43D1" w:rsidP="00D851B5">
      <w:pPr>
        <w:pStyle w:val="BodyText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 xml:space="preserve">Cruising in Pilotage </w:t>
      </w:r>
      <w:proofErr w:type="gramStart"/>
      <w:r w:rsidRPr="00062787">
        <w:rPr>
          <w:rFonts w:ascii="Arial Nova Light" w:hAnsi="Arial Nova Light"/>
          <w:color w:val="000000"/>
        </w:rPr>
        <w:t xml:space="preserve">Waters  </w:t>
      </w:r>
      <w:r w:rsidRPr="00062787">
        <w:rPr>
          <w:rFonts w:ascii="Arial Nova Light" w:hAnsi="Arial Nova Light"/>
          <w:color w:val="000000"/>
        </w:rPr>
        <w:tab/>
      </w:r>
      <w:proofErr w:type="gramEnd"/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Pilot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      on request</w:t>
      </w:r>
    </w:p>
    <w:p w14:paraId="38AACDD7" w14:textId="77777777" w:rsidR="00D75DC7" w:rsidRPr="00062787" w:rsidRDefault="00D75DC7" w:rsidP="00BE43D1">
      <w:pPr>
        <w:pStyle w:val="BodyText2"/>
        <w:rPr>
          <w:rFonts w:ascii="Arial Nova Light" w:hAnsi="Arial Nova Light"/>
        </w:rPr>
      </w:pPr>
    </w:p>
    <w:p w14:paraId="0BA79331" w14:textId="77777777" w:rsidR="00D75DC7" w:rsidRPr="00062787" w:rsidRDefault="00D75DC7" w:rsidP="00BE43D1">
      <w:pPr>
        <w:pStyle w:val="BodyText2"/>
        <w:rPr>
          <w:rFonts w:ascii="Arial Nova Light" w:hAnsi="Arial Nova Light"/>
        </w:rPr>
      </w:pPr>
    </w:p>
    <w:p w14:paraId="36C6695C" w14:textId="77777777" w:rsidR="00905122" w:rsidRPr="00062787" w:rsidRDefault="00905122" w:rsidP="00BE43D1">
      <w:pPr>
        <w:pStyle w:val="BodyText2"/>
        <w:rPr>
          <w:rFonts w:ascii="Arial Nova Light" w:hAnsi="Arial Nova Light"/>
          <w:b/>
          <w:u w:val="single"/>
        </w:rPr>
      </w:pPr>
      <w:r w:rsidRPr="00062787">
        <w:rPr>
          <w:rFonts w:ascii="Arial Nova Light" w:hAnsi="Arial Nova Light"/>
          <w:b/>
          <w:u w:val="single"/>
        </w:rPr>
        <w:t>Surcharges</w:t>
      </w:r>
    </w:p>
    <w:p w14:paraId="74C4CEDA" w14:textId="77777777" w:rsidR="00905122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3D4078A2" w14:textId="77777777" w:rsidR="00BE22B3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 xml:space="preserve">If less than 12 </w:t>
      </w:r>
      <w:r w:rsidR="007779C3" w:rsidRPr="00062787">
        <w:rPr>
          <w:rFonts w:ascii="Arial Nova Light" w:hAnsi="Arial Nova Light"/>
        </w:rPr>
        <w:t>hours’ notice</w:t>
      </w:r>
      <w:r w:rsidRPr="00062787">
        <w:rPr>
          <w:rFonts w:ascii="Arial Nova Light" w:hAnsi="Arial Nova Light"/>
        </w:rPr>
        <w:t xml:space="preserve"> (3 hours before departure of a berth) of a request for pilotage services is received a penalty charge of 25%</w:t>
      </w:r>
      <w:r w:rsidR="007779C3" w:rsidRPr="00062787">
        <w:rPr>
          <w:rFonts w:ascii="Arial Nova Light" w:hAnsi="Arial Nova Light"/>
        </w:rPr>
        <w:t xml:space="preserve"> of the Standard C</w:t>
      </w:r>
      <w:r w:rsidRPr="00062787">
        <w:rPr>
          <w:rFonts w:ascii="Arial Nova Light" w:hAnsi="Arial Nova Light"/>
        </w:rPr>
        <w:t>harge may be levied in addition to the Standard Charge.</w:t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6D60A701" w14:textId="77777777" w:rsidR="00BE22B3" w:rsidRPr="00062787" w:rsidRDefault="00BE22B3" w:rsidP="00905122">
      <w:pPr>
        <w:pStyle w:val="BodyText2"/>
        <w:rPr>
          <w:rFonts w:ascii="Arial Nova Light" w:hAnsi="Arial Nova Light"/>
        </w:rPr>
      </w:pPr>
    </w:p>
    <w:p w14:paraId="2FF3CE7F" w14:textId="77777777" w:rsidR="00BE22B3" w:rsidRPr="00062787" w:rsidRDefault="00BE22B3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Any acts over 2 ½ hours may incur a surcharge.</w:t>
      </w:r>
    </w:p>
    <w:p w14:paraId="37459ECD" w14:textId="77777777" w:rsidR="00905122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04E9EEF3" w14:textId="77777777" w:rsidR="007779C3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Cancellat</w:t>
      </w:r>
      <w:r w:rsidR="00F16098" w:rsidRPr="00062787">
        <w:rPr>
          <w:rFonts w:ascii="Arial Nova Light" w:hAnsi="Arial Nova Light"/>
        </w:rPr>
        <w:t>ion/</w:t>
      </w:r>
      <w:r w:rsidRPr="00062787">
        <w:rPr>
          <w:rFonts w:ascii="Arial Nova Light" w:hAnsi="Arial Nova Light"/>
        </w:rPr>
        <w:t xml:space="preserve">amendment of a request for pilotage services 1.5 hours before ETA/ETD will incur a fee of 33% </w:t>
      </w:r>
      <w:r w:rsidR="007779C3" w:rsidRPr="00062787">
        <w:rPr>
          <w:rFonts w:ascii="Arial Nova Light" w:hAnsi="Arial Nova Light"/>
        </w:rPr>
        <w:t>of the Standard C</w:t>
      </w:r>
      <w:r w:rsidRPr="00062787">
        <w:rPr>
          <w:rFonts w:ascii="Arial Nova Light" w:hAnsi="Arial Nova Light"/>
        </w:rPr>
        <w:t>harge.</w:t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1D8096E7" w14:textId="77777777" w:rsidR="007779C3" w:rsidRPr="00062787" w:rsidRDefault="007779C3" w:rsidP="00905122">
      <w:pPr>
        <w:pStyle w:val="BodyText2"/>
        <w:rPr>
          <w:rFonts w:ascii="Arial Nova Light" w:hAnsi="Arial Nova Light"/>
        </w:rPr>
      </w:pPr>
    </w:p>
    <w:p w14:paraId="6929DF5A" w14:textId="77777777" w:rsidR="007779C3" w:rsidRPr="00062787" w:rsidRDefault="007779C3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If a pilot has attended a vessel or the pilot boarding position for the time requested and the act of pilotage has not commenced within 30 minutes of that time there will be a charge for the waiting time or the request for services may be cancelled and if so, a cancellation fee of 50% of the Standard Charge will be charged.</w:t>
      </w:r>
    </w:p>
    <w:p w14:paraId="066A6BD2" w14:textId="77777777" w:rsidR="00905122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3BB70EE3" w14:textId="77777777" w:rsidR="00A760CB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Once the act of pilotage has commenced if for any reason other than traffic movements or restricted visibility the vessel’</w:t>
      </w:r>
      <w:r w:rsidR="007779C3" w:rsidRPr="00062787">
        <w:rPr>
          <w:rFonts w:ascii="Arial Nova Light" w:hAnsi="Arial Nova Light"/>
        </w:rPr>
        <w:t xml:space="preserve">s transit is delayed for </w:t>
      </w:r>
      <w:r w:rsidRPr="00062787">
        <w:rPr>
          <w:rFonts w:ascii="Arial Nova Light" w:hAnsi="Arial Nova Light"/>
        </w:rPr>
        <w:t xml:space="preserve">30 minutes </w:t>
      </w:r>
      <w:r w:rsidR="007779C3" w:rsidRPr="00062787">
        <w:rPr>
          <w:rFonts w:ascii="Arial Nova Light" w:hAnsi="Arial Nova Light"/>
        </w:rPr>
        <w:t>or more, then a detention fee of £50 will be charged for each period of 30 minutes or part thereof after the first 30 minutes of the delay.</w:t>
      </w:r>
    </w:p>
    <w:p w14:paraId="20D680B5" w14:textId="77777777" w:rsidR="00062787" w:rsidRDefault="00062787" w:rsidP="00BE43D1">
      <w:pPr>
        <w:pStyle w:val="BodyText2"/>
        <w:rPr>
          <w:rFonts w:ascii="Arial Nova Light" w:hAnsi="Arial Nova Light"/>
        </w:rPr>
      </w:pPr>
    </w:p>
    <w:p w14:paraId="461ACC95" w14:textId="20FCD707" w:rsidR="00252DBA" w:rsidRPr="00062787" w:rsidRDefault="007779C3" w:rsidP="00A4528A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Any vessel requiring a pilot to remain on board while a c</w:t>
      </w:r>
      <w:r w:rsidR="00905122" w:rsidRPr="00062787">
        <w:rPr>
          <w:rFonts w:ascii="Arial Nova Light" w:hAnsi="Arial Nova Light"/>
        </w:rPr>
        <w:t>ompass adjustment</w:t>
      </w:r>
      <w:r w:rsidRPr="00062787">
        <w:rPr>
          <w:rFonts w:ascii="Arial Nova Light" w:hAnsi="Arial Nova Light"/>
        </w:rPr>
        <w:t xml:space="preserve"> is made will incur an additional charge of </w:t>
      </w:r>
      <w:r w:rsidR="00F16098" w:rsidRPr="00062787">
        <w:rPr>
          <w:rFonts w:ascii="Arial Nova Light" w:hAnsi="Arial Nova Light"/>
        </w:rPr>
        <w:t>£100.</w:t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</w:p>
    <w:sectPr w:rsidR="00252DBA" w:rsidRPr="00062787" w:rsidSect="00062787">
      <w:headerReference w:type="default" r:id="rId11"/>
      <w:footerReference w:type="default" r:id="rId12"/>
      <w:pgSz w:w="12240" w:h="15840"/>
      <w:pgMar w:top="720" w:right="720" w:bottom="720" w:left="720" w:header="567" w:footer="30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23E7" w14:textId="77777777" w:rsidR="00AD4C89" w:rsidRDefault="00AD4C89">
      <w:r>
        <w:separator/>
      </w:r>
    </w:p>
  </w:endnote>
  <w:endnote w:type="continuationSeparator" w:id="0">
    <w:p w14:paraId="1A20114D" w14:textId="77777777" w:rsidR="00AD4C89" w:rsidRDefault="00AD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D46A" w14:textId="77777777" w:rsidR="0097184A" w:rsidRPr="00A4528A" w:rsidRDefault="0097184A" w:rsidP="0097184A">
    <w:pPr>
      <w:pStyle w:val="Footer"/>
      <w:spacing w:line="276" w:lineRule="auto"/>
      <w:jc w:val="center"/>
      <w:rPr>
        <w:rFonts w:ascii="Arial Nova Light" w:hAnsi="Arial Nova Light"/>
        <w:caps/>
        <w:color w:val="1F294B"/>
        <w:sz w:val="19"/>
        <w:lang w:val="en-GB"/>
      </w:rPr>
    </w:pPr>
    <w:r w:rsidRPr="00A4528A">
      <w:rPr>
        <w:rFonts w:ascii="Arial Nova Light" w:hAnsi="Arial Nova Light"/>
        <w:caps/>
        <w:color w:val="1F294B"/>
        <w:sz w:val="19"/>
      </w:rPr>
      <w:t>Harbour Office, Town Quay, Cowes, Isle of Wight, PO31 7AS</w:t>
    </w:r>
  </w:p>
  <w:p w14:paraId="1D92BB67" w14:textId="77777777" w:rsidR="0097184A" w:rsidRPr="00A4528A" w:rsidRDefault="0097184A" w:rsidP="0097184A">
    <w:pPr>
      <w:pStyle w:val="Footer"/>
      <w:spacing w:line="276" w:lineRule="auto"/>
      <w:jc w:val="center"/>
      <w:rPr>
        <w:rFonts w:ascii="Arial Nova Light" w:hAnsi="Arial Nova Light"/>
        <w:color w:val="1F294B"/>
        <w:sz w:val="19"/>
      </w:rPr>
    </w:pPr>
    <w:r w:rsidRPr="00A4528A">
      <w:rPr>
        <w:rFonts w:ascii="Arial Nova Light" w:hAnsi="Arial Nova Light"/>
        <w:color w:val="1F294B"/>
        <w:sz w:val="19"/>
      </w:rPr>
      <w:t>01983 293952</w:t>
    </w:r>
  </w:p>
  <w:p w14:paraId="212C308B" w14:textId="6EE71858" w:rsidR="0097184A" w:rsidRPr="00A4528A" w:rsidRDefault="0097184A" w:rsidP="0097184A">
    <w:pPr>
      <w:pStyle w:val="Footer"/>
      <w:spacing w:line="276" w:lineRule="auto"/>
      <w:jc w:val="center"/>
      <w:rPr>
        <w:rFonts w:ascii="Arial Nova Light" w:hAnsi="Arial Nova Light"/>
        <w:bCs/>
        <w:color w:val="A1815A"/>
        <w:sz w:val="19"/>
      </w:rPr>
    </w:pPr>
    <w:r w:rsidRPr="00A4528A">
      <w:rPr>
        <w:rFonts w:ascii="Arial Nova Light" w:hAnsi="Arial Nova Light"/>
        <w:bCs/>
        <w:color w:val="A1815A"/>
        <w:sz w:val="19"/>
      </w:rPr>
      <w:t>chc@cowes.co.uk   cowes.co.uk</w:t>
    </w:r>
  </w:p>
  <w:p w14:paraId="374EFAF8" w14:textId="77777777" w:rsidR="0097184A" w:rsidRPr="00A4528A" w:rsidRDefault="0097184A" w:rsidP="0097184A">
    <w:pPr>
      <w:pStyle w:val="Footer"/>
      <w:spacing w:line="276" w:lineRule="auto"/>
      <w:jc w:val="center"/>
      <w:rPr>
        <w:rFonts w:ascii="Arial Nova Light" w:hAnsi="Arial Nova Light"/>
        <w:color w:val="002060"/>
        <w:sz w:val="16"/>
        <w:szCs w:val="16"/>
      </w:rPr>
    </w:pPr>
  </w:p>
  <w:p w14:paraId="6BFED7F4" w14:textId="77777777" w:rsidR="0097184A" w:rsidRPr="00A4528A" w:rsidRDefault="0097184A" w:rsidP="0097184A">
    <w:pPr>
      <w:spacing w:line="276" w:lineRule="auto"/>
      <w:jc w:val="center"/>
      <w:rPr>
        <w:rFonts w:ascii="Arial Nova Light" w:hAnsi="Arial Nova Light"/>
        <w:color w:val="767171"/>
        <w:sz w:val="14"/>
        <w:szCs w:val="14"/>
      </w:rPr>
    </w:pPr>
    <w:r w:rsidRPr="00A4528A">
      <w:rPr>
        <w:rFonts w:ascii="Arial Nova Light" w:hAnsi="Arial Nova Light"/>
        <w:color w:val="767171"/>
        <w:sz w:val="14"/>
        <w:szCs w:val="14"/>
      </w:rPr>
      <w:t>Cowes Harbour Commission includes Cowes Harbour Services and Cowes Harbour Shepards Marina</w:t>
    </w:r>
  </w:p>
  <w:p w14:paraId="2AAFA002" w14:textId="77777777" w:rsidR="00BC466C" w:rsidRDefault="00BC466C">
    <w:pPr>
      <w:pStyle w:val="Footer"/>
      <w:pBdr>
        <w:top w:val="single" w:sz="4" w:space="1" w:color="auto"/>
      </w:pBdr>
      <w:jc w:val="right"/>
      <w:rPr>
        <w:b/>
        <w:i/>
        <w:sz w:val="16"/>
      </w:rPr>
    </w:pPr>
  </w:p>
  <w:p w14:paraId="2E9A23A7" w14:textId="1D897B7B" w:rsidR="00BC466C" w:rsidRDefault="00BC466C">
    <w:pPr>
      <w:widowControl w:val="0"/>
      <w:pBdr>
        <w:top w:val="single" w:sz="4" w:space="1" w:color="auto"/>
      </w:pBdr>
      <w:jc w:val="right"/>
      <w:rPr>
        <w:snapToGrid w:val="0"/>
        <w:sz w:val="24"/>
      </w:rPr>
    </w:pPr>
    <w:r>
      <w:rPr>
        <w:b/>
        <w:i/>
        <w:sz w:val="16"/>
      </w:rPr>
      <w:fldChar w:fldCharType="begin"/>
    </w:r>
    <w:r>
      <w:rPr>
        <w:b/>
        <w:i/>
        <w:sz w:val="16"/>
        <w:lang w:val="en-GB"/>
      </w:rPr>
      <w:instrText xml:space="preserve"> DATE \@ "dd MMMM yyyy" </w:instrText>
    </w:r>
    <w:r>
      <w:rPr>
        <w:b/>
        <w:i/>
        <w:sz w:val="16"/>
      </w:rPr>
      <w:fldChar w:fldCharType="separate"/>
    </w:r>
    <w:r w:rsidR="00A4528A">
      <w:rPr>
        <w:b/>
        <w:i/>
        <w:noProof/>
        <w:sz w:val="16"/>
        <w:lang w:val="en-GB"/>
      </w:rPr>
      <w:t>22 December 2023</w:t>
    </w:r>
    <w:r>
      <w:rPr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C04" w14:textId="77777777" w:rsidR="00AD4C89" w:rsidRDefault="00AD4C89">
      <w:r>
        <w:separator/>
      </w:r>
    </w:p>
  </w:footnote>
  <w:footnote w:type="continuationSeparator" w:id="0">
    <w:p w14:paraId="7AC9A249" w14:textId="77777777" w:rsidR="00AD4C89" w:rsidRDefault="00AD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2254" w14:textId="76ADC972" w:rsidR="00062787" w:rsidRDefault="0006278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0DF6BF" wp14:editId="4CCC195C">
              <wp:simplePos x="0" y="0"/>
              <wp:positionH relativeFrom="column">
                <wp:posOffset>1447800</wp:posOffset>
              </wp:positionH>
              <wp:positionV relativeFrom="paragraph">
                <wp:posOffset>182880</wp:posOffset>
              </wp:positionV>
              <wp:extent cx="436245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940C4" w14:textId="1BBF3861" w:rsidR="00062787" w:rsidRDefault="0006278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DF6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pt;margin-top:14.4pt;width:34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WXDQ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" stroked="f">
              <v:textbox style="mso-fit-shape-to-text:t">
                <w:txbxContent>
                  <w:p w14:paraId="2A7940C4" w14:textId="1BBF3861" w:rsidR="00062787" w:rsidRDefault="00062787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B56483B" wp14:editId="4E71C661">
          <wp:extent cx="914400" cy="914400"/>
          <wp:effectExtent l="0" t="0" r="0" b="0"/>
          <wp:docPr id="797783461" name="Picture 1" descr="A logo with a crown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783461" name="Picture 1" descr="A logo with a crown and a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160843" wp14:editId="211DDB64">
          <wp:extent cx="914400" cy="914400"/>
          <wp:effectExtent l="0" t="0" r="0" b="0"/>
          <wp:docPr id="638164777" name="Picture 2" descr="A blue square with white text and blue and re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64777" name="Picture 2" descr="A blue square with white text and blue and re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C35FE" w14:textId="77777777" w:rsidR="00062787" w:rsidRDefault="00062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14D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3379"/>
    <w:multiLevelType w:val="singleLevel"/>
    <w:tmpl w:val="7D687A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372C1D"/>
    <w:multiLevelType w:val="hybridMultilevel"/>
    <w:tmpl w:val="E21CE4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233"/>
    <w:multiLevelType w:val="hybridMultilevel"/>
    <w:tmpl w:val="189C9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00ADB"/>
    <w:multiLevelType w:val="singleLevel"/>
    <w:tmpl w:val="7D687A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6D74F9"/>
    <w:multiLevelType w:val="hybridMultilevel"/>
    <w:tmpl w:val="047EB334"/>
    <w:lvl w:ilvl="0" w:tplc="0809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45313"/>
    <w:multiLevelType w:val="hybridMultilevel"/>
    <w:tmpl w:val="E11CA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5367">
    <w:abstractNumId w:val="4"/>
  </w:num>
  <w:num w:numId="2" w16cid:durableId="1497770388">
    <w:abstractNumId w:val="1"/>
  </w:num>
  <w:num w:numId="3" w16cid:durableId="1780835811">
    <w:abstractNumId w:val="3"/>
  </w:num>
  <w:num w:numId="4" w16cid:durableId="1825126524">
    <w:abstractNumId w:val="2"/>
  </w:num>
  <w:num w:numId="5" w16cid:durableId="356780262">
    <w:abstractNumId w:val="6"/>
  </w:num>
  <w:num w:numId="6" w16cid:durableId="346909302">
    <w:abstractNumId w:val="5"/>
  </w:num>
  <w:num w:numId="7" w16cid:durableId="12145390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8" w:dllVersion="513" w:checkStyle="1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07"/>
    <w:rsid w:val="00001D5C"/>
    <w:rsid w:val="000175C4"/>
    <w:rsid w:val="00022600"/>
    <w:rsid w:val="0002324D"/>
    <w:rsid w:val="0003239E"/>
    <w:rsid w:val="00054C1A"/>
    <w:rsid w:val="00055A55"/>
    <w:rsid w:val="0005743F"/>
    <w:rsid w:val="0006058D"/>
    <w:rsid w:val="00060BDC"/>
    <w:rsid w:val="000623AD"/>
    <w:rsid w:val="00062787"/>
    <w:rsid w:val="00072FA3"/>
    <w:rsid w:val="00075CAB"/>
    <w:rsid w:val="000778C3"/>
    <w:rsid w:val="0009320D"/>
    <w:rsid w:val="000A0809"/>
    <w:rsid w:val="000A544F"/>
    <w:rsid w:val="000B2FA7"/>
    <w:rsid w:val="000E13AA"/>
    <w:rsid w:val="000E1B07"/>
    <w:rsid w:val="000E7D3A"/>
    <w:rsid w:val="001034EC"/>
    <w:rsid w:val="00104A6D"/>
    <w:rsid w:val="00104E05"/>
    <w:rsid w:val="001073F0"/>
    <w:rsid w:val="00107F1D"/>
    <w:rsid w:val="00126852"/>
    <w:rsid w:val="001342D3"/>
    <w:rsid w:val="00141537"/>
    <w:rsid w:val="00141773"/>
    <w:rsid w:val="0014686B"/>
    <w:rsid w:val="001621C8"/>
    <w:rsid w:val="00165148"/>
    <w:rsid w:val="00166618"/>
    <w:rsid w:val="00170C27"/>
    <w:rsid w:val="00173F87"/>
    <w:rsid w:val="00181886"/>
    <w:rsid w:val="0019021C"/>
    <w:rsid w:val="00190CAB"/>
    <w:rsid w:val="00190CF4"/>
    <w:rsid w:val="001A40C5"/>
    <w:rsid w:val="001A5CEF"/>
    <w:rsid w:val="001C58C3"/>
    <w:rsid w:val="001E18EF"/>
    <w:rsid w:val="001E3985"/>
    <w:rsid w:val="001E5554"/>
    <w:rsid w:val="001F2F40"/>
    <w:rsid w:val="00207B1A"/>
    <w:rsid w:val="0021438A"/>
    <w:rsid w:val="002148D3"/>
    <w:rsid w:val="00223D35"/>
    <w:rsid w:val="00225259"/>
    <w:rsid w:val="002265DE"/>
    <w:rsid w:val="00240986"/>
    <w:rsid w:val="00241012"/>
    <w:rsid w:val="00242E15"/>
    <w:rsid w:val="0025034A"/>
    <w:rsid w:val="00252DBA"/>
    <w:rsid w:val="00277710"/>
    <w:rsid w:val="00280CE9"/>
    <w:rsid w:val="002849CC"/>
    <w:rsid w:val="00290F93"/>
    <w:rsid w:val="00292A51"/>
    <w:rsid w:val="00296C96"/>
    <w:rsid w:val="002A444C"/>
    <w:rsid w:val="002A599C"/>
    <w:rsid w:val="002B7560"/>
    <w:rsid w:val="002C530B"/>
    <w:rsid w:val="002C594D"/>
    <w:rsid w:val="002C60E7"/>
    <w:rsid w:val="002D429C"/>
    <w:rsid w:val="002F5209"/>
    <w:rsid w:val="00302E4A"/>
    <w:rsid w:val="003041C7"/>
    <w:rsid w:val="0030657B"/>
    <w:rsid w:val="003130FD"/>
    <w:rsid w:val="00316DAA"/>
    <w:rsid w:val="003173EB"/>
    <w:rsid w:val="00323376"/>
    <w:rsid w:val="003309C9"/>
    <w:rsid w:val="00333651"/>
    <w:rsid w:val="003519B0"/>
    <w:rsid w:val="00354407"/>
    <w:rsid w:val="003A4B64"/>
    <w:rsid w:val="003C3026"/>
    <w:rsid w:val="003D5216"/>
    <w:rsid w:val="003D7075"/>
    <w:rsid w:val="003E38CD"/>
    <w:rsid w:val="00407DB2"/>
    <w:rsid w:val="0041177F"/>
    <w:rsid w:val="00416E95"/>
    <w:rsid w:val="00423B81"/>
    <w:rsid w:val="004323D4"/>
    <w:rsid w:val="004436D8"/>
    <w:rsid w:val="00454CED"/>
    <w:rsid w:val="00465EAA"/>
    <w:rsid w:val="00472455"/>
    <w:rsid w:val="00496E15"/>
    <w:rsid w:val="004A6F64"/>
    <w:rsid w:val="004B0BF4"/>
    <w:rsid w:val="004D1CBB"/>
    <w:rsid w:val="004D2043"/>
    <w:rsid w:val="004F3378"/>
    <w:rsid w:val="004F530D"/>
    <w:rsid w:val="0050351A"/>
    <w:rsid w:val="005037A4"/>
    <w:rsid w:val="00510DEF"/>
    <w:rsid w:val="005154AF"/>
    <w:rsid w:val="00520C1D"/>
    <w:rsid w:val="00545824"/>
    <w:rsid w:val="00554292"/>
    <w:rsid w:val="005633D6"/>
    <w:rsid w:val="005651C6"/>
    <w:rsid w:val="005660A3"/>
    <w:rsid w:val="005661E5"/>
    <w:rsid w:val="0057232D"/>
    <w:rsid w:val="00573FB9"/>
    <w:rsid w:val="00597A39"/>
    <w:rsid w:val="005D53F6"/>
    <w:rsid w:val="005E268E"/>
    <w:rsid w:val="006125D6"/>
    <w:rsid w:val="00613A84"/>
    <w:rsid w:val="00615D46"/>
    <w:rsid w:val="00621267"/>
    <w:rsid w:val="00623199"/>
    <w:rsid w:val="006261CE"/>
    <w:rsid w:val="00636624"/>
    <w:rsid w:val="00640617"/>
    <w:rsid w:val="00640D97"/>
    <w:rsid w:val="006427B0"/>
    <w:rsid w:val="0065373E"/>
    <w:rsid w:val="006540C6"/>
    <w:rsid w:val="006807BF"/>
    <w:rsid w:val="006830B1"/>
    <w:rsid w:val="00691DEB"/>
    <w:rsid w:val="00695266"/>
    <w:rsid w:val="006B0641"/>
    <w:rsid w:val="006C1A1D"/>
    <w:rsid w:val="006D4EB0"/>
    <w:rsid w:val="006D5DF7"/>
    <w:rsid w:val="006E54F3"/>
    <w:rsid w:val="0070481E"/>
    <w:rsid w:val="0072556B"/>
    <w:rsid w:val="007265FC"/>
    <w:rsid w:val="007421D3"/>
    <w:rsid w:val="007544DF"/>
    <w:rsid w:val="00754D9F"/>
    <w:rsid w:val="007607D1"/>
    <w:rsid w:val="00776D2A"/>
    <w:rsid w:val="007779C3"/>
    <w:rsid w:val="00780DEF"/>
    <w:rsid w:val="0079191B"/>
    <w:rsid w:val="00791CAE"/>
    <w:rsid w:val="00792C5E"/>
    <w:rsid w:val="0079592F"/>
    <w:rsid w:val="007A276F"/>
    <w:rsid w:val="007B3A30"/>
    <w:rsid w:val="007B5A99"/>
    <w:rsid w:val="007C3CC3"/>
    <w:rsid w:val="007C4B30"/>
    <w:rsid w:val="007C5300"/>
    <w:rsid w:val="007C664C"/>
    <w:rsid w:val="007C797A"/>
    <w:rsid w:val="007E4CA5"/>
    <w:rsid w:val="008046F0"/>
    <w:rsid w:val="0080514D"/>
    <w:rsid w:val="008060EB"/>
    <w:rsid w:val="00807DE8"/>
    <w:rsid w:val="00821B3E"/>
    <w:rsid w:val="008473EB"/>
    <w:rsid w:val="00852F77"/>
    <w:rsid w:val="00856D18"/>
    <w:rsid w:val="008611C8"/>
    <w:rsid w:val="00863667"/>
    <w:rsid w:val="00871CA2"/>
    <w:rsid w:val="0087771B"/>
    <w:rsid w:val="008857B7"/>
    <w:rsid w:val="00887167"/>
    <w:rsid w:val="00890B68"/>
    <w:rsid w:val="0089309C"/>
    <w:rsid w:val="008A70D7"/>
    <w:rsid w:val="008B3F77"/>
    <w:rsid w:val="008B5598"/>
    <w:rsid w:val="008C037D"/>
    <w:rsid w:val="008C4451"/>
    <w:rsid w:val="008C7498"/>
    <w:rsid w:val="008D4BEE"/>
    <w:rsid w:val="008D5ED7"/>
    <w:rsid w:val="008E160D"/>
    <w:rsid w:val="008F516E"/>
    <w:rsid w:val="00901F79"/>
    <w:rsid w:val="00904494"/>
    <w:rsid w:val="00905122"/>
    <w:rsid w:val="0090571D"/>
    <w:rsid w:val="00905BE3"/>
    <w:rsid w:val="0094157E"/>
    <w:rsid w:val="00942E4F"/>
    <w:rsid w:val="00951D02"/>
    <w:rsid w:val="0097184A"/>
    <w:rsid w:val="00975C3C"/>
    <w:rsid w:val="00991F15"/>
    <w:rsid w:val="00994C5E"/>
    <w:rsid w:val="009B3EEF"/>
    <w:rsid w:val="009B65E3"/>
    <w:rsid w:val="009D0248"/>
    <w:rsid w:val="009D2598"/>
    <w:rsid w:val="009D717C"/>
    <w:rsid w:val="009E47B8"/>
    <w:rsid w:val="00A01743"/>
    <w:rsid w:val="00A06966"/>
    <w:rsid w:val="00A14973"/>
    <w:rsid w:val="00A2106B"/>
    <w:rsid w:val="00A261AD"/>
    <w:rsid w:val="00A35602"/>
    <w:rsid w:val="00A428B8"/>
    <w:rsid w:val="00A4528A"/>
    <w:rsid w:val="00A52C6B"/>
    <w:rsid w:val="00A540EC"/>
    <w:rsid w:val="00A56E79"/>
    <w:rsid w:val="00A760CB"/>
    <w:rsid w:val="00A84410"/>
    <w:rsid w:val="00AA0AAA"/>
    <w:rsid w:val="00AA4260"/>
    <w:rsid w:val="00AC37C7"/>
    <w:rsid w:val="00AC4AAA"/>
    <w:rsid w:val="00AC6F80"/>
    <w:rsid w:val="00AD4C89"/>
    <w:rsid w:val="00AD4F0B"/>
    <w:rsid w:val="00AD595C"/>
    <w:rsid w:val="00AE0215"/>
    <w:rsid w:val="00AF1470"/>
    <w:rsid w:val="00B023C9"/>
    <w:rsid w:val="00B1311E"/>
    <w:rsid w:val="00B34A9E"/>
    <w:rsid w:val="00B34AE6"/>
    <w:rsid w:val="00B42ACE"/>
    <w:rsid w:val="00B44CEC"/>
    <w:rsid w:val="00B46FFB"/>
    <w:rsid w:val="00B75E8B"/>
    <w:rsid w:val="00B768F8"/>
    <w:rsid w:val="00B817C7"/>
    <w:rsid w:val="00B87007"/>
    <w:rsid w:val="00B91573"/>
    <w:rsid w:val="00B92F74"/>
    <w:rsid w:val="00B949F3"/>
    <w:rsid w:val="00BA1652"/>
    <w:rsid w:val="00BA6984"/>
    <w:rsid w:val="00BB1194"/>
    <w:rsid w:val="00BB2170"/>
    <w:rsid w:val="00BC38C9"/>
    <w:rsid w:val="00BC466C"/>
    <w:rsid w:val="00BC6B94"/>
    <w:rsid w:val="00BC7798"/>
    <w:rsid w:val="00BD7FC4"/>
    <w:rsid w:val="00BE22B3"/>
    <w:rsid w:val="00BE2E29"/>
    <w:rsid w:val="00BE43D1"/>
    <w:rsid w:val="00BF121E"/>
    <w:rsid w:val="00BF779C"/>
    <w:rsid w:val="00C02AA3"/>
    <w:rsid w:val="00C05063"/>
    <w:rsid w:val="00C0734E"/>
    <w:rsid w:val="00C16D7A"/>
    <w:rsid w:val="00C2316B"/>
    <w:rsid w:val="00C50671"/>
    <w:rsid w:val="00C50920"/>
    <w:rsid w:val="00C61226"/>
    <w:rsid w:val="00C75365"/>
    <w:rsid w:val="00C77529"/>
    <w:rsid w:val="00C81332"/>
    <w:rsid w:val="00C847B7"/>
    <w:rsid w:val="00C936D3"/>
    <w:rsid w:val="00CA43C1"/>
    <w:rsid w:val="00CA56FA"/>
    <w:rsid w:val="00CC42F7"/>
    <w:rsid w:val="00CF008C"/>
    <w:rsid w:val="00D0059C"/>
    <w:rsid w:val="00D02B28"/>
    <w:rsid w:val="00D04846"/>
    <w:rsid w:val="00D06589"/>
    <w:rsid w:val="00D06BAD"/>
    <w:rsid w:val="00D11D28"/>
    <w:rsid w:val="00D13557"/>
    <w:rsid w:val="00D14865"/>
    <w:rsid w:val="00D22085"/>
    <w:rsid w:val="00D2522A"/>
    <w:rsid w:val="00D2613F"/>
    <w:rsid w:val="00D36F23"/>
    <w:rsid w:val="00D55688"/>
    <w:rsid w:val="00D66590"/>
    <w:rsid w:val="00D71D48"/>
    <w:rsid w:val="00D75DC7"/>
    <w:rsid w:val="00D851B5"/>
    <w:rsid w:val="00DB002E"/>
    <w:rsid w:val="00DB1B86"/>
    <w:rsid w:val="00DB4203"/>
    <w:rsid w:val="00DB697A"/>
    <w:rsid w:val="00DC22C6"/>
    <w:rsid w:val="00DC7873"/>
    <w:rsid w:val="00DD2007"/>
    <w:rsid w:val="00DD5B2A"/>
    <w:rsid w:val="00DE6EE4"/>
    <w:rsid w:val="00DE7D95"/>
    <w:rsid w:val="00DF09D0"/>
    <w:rsid w:val="00DF1FC8"/>
    <w:rsid w:val="00DF20B7"/>
    <w:rsid w:val="00E0025E"/>
    <w:rsid w:val="00E07FEB"/>
    <w:rsid w:val="00E2527D"/>
    <w:rsid w:val="00E40513"/>
    <w:rsid w:val="00E40C17"/>
    <w:rsid w:val="00E5249F"/>
    <w:rsid w:val="00E60BB0"/>
    <w:rsid w:val="00E62F72"/>
    <w:rsid w:val="00E63277"/>
    <w:rsid w:val="00E6349C"/>
    <w:rsid w:val="00E668BB"/>
    <w:rsid w:val="00E71CE8"/>
    <w:rsid w:val="00E7525C"/>
    <w:rsid w:val="00E8379E"/>
    <w:rsid w:val="00E844EA"/>
    <w:rsid w:val="00E957E9"/>
    <w:rsid w:val="00E97B59"/>
    <w:rsid w:val="00EB1B31"/>
    <w:rsid w:val="00EB411C"/>
    <w:rsid w:val="00EC4E03"/>
    <w:rsid w:val="00EE27CA"/>
    <w:rsid w:val="00EF28C2"/>
    <w:rsid w:val="00F0387B"/>
    <w:rsid w:val="00F054C8"/>
    <w:rsid w:val="00F15D96"/>
    <w:rsid w:val="00F16098"/>
    <w:rsid w:val="00F26179"/>
    <w:rsid w:val="00F30938"/>
    <w:rsid w:val="00F54E49"/>
    <w:rsid w:val="00F71378"/>
    <w:rsid w:val="00F72F08"/>
    <w:rsid w:val="00F74512"/>
    <w:rsid w:val="00F9685C"/>
    <w:rsid w:val="00FA4158"/>
    <w:rsid w:val="00FB1558"/>
    <w:rsid w:val="00FB21CA"/>
    <w:rsid w:val="00FB5792"/>
    <w:rsid w:val="00FC289A"/>
    <w:rsid w:val="00FD0DAD"/>
    <w:rsid w:val="00FE041D"/>
    <w:rsid w:val="00FE176C"/>
    <w:rsid w:val="00FE650D"/>
    <w:rsid w:val="00FE7FCF"/>
    <w:rsid w:val="00FF25D6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43820"/>
  <w15:chartTrackingRefBased/>
  <w15:docId w15:val="{55AEC34A-5474-477B-BACA-7E86B5C6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outlineLvl w:val="0"/>
    </w:pPr>
    <w:rPr>
      <w:b/>
      <w:snapToGrid w:val="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60"/>
        <w:tab w:val="left" w:pos="1440"/>
        <w:tab w:val="left" w:pos="2160"/>
        <w:tab w:val="left" w:pos="2340"/>
      </w:tabs>
      <w:outlineLvl w:val="1"/>
    </w:pPr>
    <w:rPr>
      <w:snapToGrid w:val="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jc w:val="center"/>
      <w:outlineLvl w:val="2"/>
    </w:pPr>
    <w:rPr>
      <w:snapToGrid w:val="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jc w:val="both"/>
      <w:outlineLvl w:val="3"/>
    </w:pPr>
    <w:rPr>
      <w:b/>
      <w:snapToGrid w:val="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jc w:val="both"/>
      <w:outlineLvl w:val="4"/>
    </w:pPr>
    <w:rPr>
      <w:snapToGrid w:val="0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360"/>
        <w:tab w:val="left" w:pos="1440"/>
        <w:tab w:val="left" w:pos="2160"/>
        <w:tab w:val="left" w:pos="2880"/>
      </w:tabs>
      <w:outlineLvl w:val="6"/>
    </w:pPr>
    <w:rPr>
      <w:b/>
      <w:bCs/>
      <w:snapToGrid w:val="0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jc w:val="both"/>
      <w:outlineLvl w:val="7"/>
    </w:pPr>
    <w:rPr>
      <w:b/>
      <w:snapToGrid w:val="0"/>
      <w:sz w:val="32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ind w:right="1728"/>
      <w:outlineLvl w:val="8"/>
    </w:pPr>
    <w:rPr>
      <w:b/>
      <w:bCs/>
      <w:snapToGrid w:val="0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/>
        <w:left w:val="double" w:sz="6" w:space="0" w:color="auto"/>
        <w:right w:val="double" w:sz="6" w:space="0" w:color="auto"/>
      </w:pBdr>
      <w:tabs>
        <w:tab w:val="left" w:pos="720"/>
        <w:tab w:val="left" w:pos="1440"/>
        <w:tab w:val="left" w:pos="2160"/>
        <w:tab w:val="left" w:pos="2880"/>
      </w:tabs>
      <w:ind w:left="1800" w:right="1728"/>
      <w:jc w:val="center"/>
    </w:pPr>
    <w:rPr>
      <w:b/>
      <w:snapToGrid w:val="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widowControl w:val="0"/>
      <w:tabs>
        <w:tab w:val="left" w:pos="720"/>
        <w:tab w:val="left" w:pos="1440"/>
        <w:tab w:val="left" w:pos="2160"/>
        <w:tab w:val="left" w:pos="2880"/>
      </w:tabs>
      <w:jc w:val="both"/>
    </w:pPr>
    <w:rPr>
      <w:snapToGrid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link w:val="BodyTextIndent2Char"/>
    <w:semiHidden/>
    <w:pPr>
      <w:widowControl w:val="0"/>
      <w:tabs>
        <w:tab w:val="left" w:pos="720"/>
        <w:tab w:val="left" w:pos="2127"/>
        <w:tab w:val="left" w:pos="2880"/>
      </w:tabs>
      <w:ind w:left="2127"/>
    </w:pPr>
    <w:rPr>
      <w:snapToGrid w:val="0"/>
      <w:sz w:val="18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b/>
      <w:bCs/>
      <w:sz w:val="16"/>
      <w:szCs w:val="16"/>
      <w:lang w:val="en-GB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30">
    <w:name w:val="xl30"/>
    <w:basedOn w:val="Normal"/>
    <w:pPr>
      <w:pBdr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  <w:lang w:val="en-GB"/>
    </w:rPr>
  </w:style>
  <w:style w:type="paragraph" w:customStyle="1" w:styleId="xl31">
    <w:name w:val="xl3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n-GB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34">
    <w:name w:val="xl34"/>
    <w:basedOn w:val="Normal"/>
    <w:pPr>
      <w:spacing w:before="100" w:beforeAutospacing="1" w:after="100" w:afterAutospacing="1"/>
      <w:jc w:val="both"/>
    </w:pPr>
    <w:rPr>
      <w:b/>
      <w:bCs/>
      <w:sz w:val="16"/>
      <w:szCs w:val="16"/>
      <w:lang w:val="en-GB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b/>
      <w:bCs/>
      <w:sz w:val="16"/>
      <w:szCs w:val="16"/>
      <w:lang w:val="en-GB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39">
    <w:name w:val="xl3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41">
    <w:name w:val="xl4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pPr>
      <w:widowControl w:val="0"/>
      <w:tabs>
        <w:tab w:val="left" w:pos="720"/>
        <w:tab w:val="left" w:pos="1440"/>
        <w:tab w:val="left" w:pos="2160"/>
        <w:tab w:val="left" w:pos="2880"/>
      </w:tabs>
      <w:jc w:val="both"/>
    </w:pPr>
    <w:rPr>
      <w:snapToGrid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40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F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semiHidden/>
    <w:rsid w:val="00416E95"/>
    <w:rPr>
      <w:snapToGrid w:val="0"/>
      <w:sz w:val="18"/>
      <w:lang w:val="en-US" w:eastAsia="en-US"/>
    </w:rPr>
  </w:style>
  <w:style w:type="character" w:customStyle="1" w:styleId="Heading4Char">
    <w:name w:val="Heading 4 Char"/>
    <w:link w:val="Heading4"/>
    <w:rsid w:val="00BE43D1"/>
    <w:rPr>
      <w:b/>
      <w:snapToGrid w:val="0"/>
      <w:u w:val="single"/>
      <w:lang w:val="en-US" w:eastAsia="en-US"/>
    </w:rPr>
  </w:style>
  <w:style w:type="character" w:customStyle="1" w:styleId="Heading5Char">
    <w:name w:val="Heading 5 Char"/>
    <w:link w:val="Heading5"/>
    <w:rsid w:val="00BE43D1"/>
    <w:rPr>
      <w:snapToGrid w:val="0"/>
      <w:u w:val="single"/>
      <w:lang w:val="en-US" w:eastAsia="en-US"/>
    </w:rPr>
  </w:style>
  <w:style w:type="character" w:customStyle="1" w:styleId="BodyTextChar">
    <w:name w:val="Body Text Char"/>
    <w:link w:val="BodyText"/>
    <w:semiHidden/>
    <w:rsid w:val="00BE43D1"/>
    <w:rPr>
      <w:snapToGrid w:val="0"/>
      <w:lang w:val="en-US" w:eastAsia="en-US"/>
    </w:rPr>
  </w:style>
  <w:style w:type="character" w:customStyle="1" w:styleId="BodyText2Char">
    <w:name w:val="Body Text 2 Char"/>
    <w:link w:val="BodyText2"/>
    <w:semiHidden/>
    <w:rsid w:val="00BE43D1"/>
    <w:rPr>
      <w:snapToGrid w:val="0"/>
      <w:color w:val="000000"/>
      <w:lang w:val="en-US" w:eastAsia="en-US"/>
    </w:rPr>
  </w:style>
  <w:style w:type="character" w:customStyle="1" w:styleId="FooterChar">
    <w:name w:val="Footer Char"/>
    <w:link w:val="Footer"/>
    <w:uiPriority w:val="99"/>
    <w:semiHidden/>
    <w:rsid w:val="0097184A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5E2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68E"/>
  </w:style>
  <w:style w:type="character" w:customStyle="1" w:styleId="CommentTextChar">
    <w:name w:val="Comment Text Char"/>
    <w:link w:val="CommentText"/>
    <w:uiPriority w:val="99"/>
    <w:rsid w:val="005E268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68E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627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6D1CEEB57844BBDE672B7600EB56A" ma:contentTypeVersion="18" ma:contentTypeDescription="Create a new document." ma:contentTypeScope="" ma:versionID="f38a6cc8309a6eca5f4c013ba247241e">
  <xsd:schema xmlns:xsd="http://www.w3.org/2001/XMLSchema" xmlns:xs="http://www.w3.org/2001/XMLSchema" xmlns:p="http://schemas.microsoft.com/office/2006/metadata/properties" xmlns:ns2="81d63505-b61b-4818-b7ff-9738316364c7" xmlns:ns3="5aee91c3-4649-4f42-8140-e7c77de52b7c" targetNamespace="http://schemas.microsoft.com/office/2006/metadata/properties" ma:root="true" ma:fieldsID="ceb528e5bacde4e0568fb10a04f48a3a" ns2:_="" ns3:_="">
    <xsd:import namespace="81d63505-b61b-4818-b7ff-9738316364c7"/>
    <xsd:import namespace="5aee91c3-4649-4f42-8140-e7c77de52b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63505-b61b-4818-b7ff-9738316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438cc0-57e8-4ba0-bbb7-d01a64a93dd0}" ma:internalName="TaxCatchAll" ma:showField="CatchAllData" ma:web="81d63505-b61b-4818-b7ff-973831636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91c3-4649-4f42-8140-e7c77de52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b8af21-6a3a-4519-b371-1b12f1a2b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91c3-4649-4f42-8140-e7c77de52b7c">
      <Terms xmlns="http://schemas.microsoft.com/office/infopath/2007/PartnerControls"/>
    </lcf76f155ced4ddcb4097134ff3c332f>
    <TaxCatchAll xmlns="81d63505-b61b-4818-b7ff-9738316364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5847D-F90A-48BC-B034-185AD20B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63505-b61b-4818-b7ff-9738316364c7"/>
    <ds:schemaRef ds:uri="5aee91c3-4649-4f42-8140-e7c77de52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D3C33-D736-4CD4-909F-C40A9B7EE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4401D-B844-4214-AD3A-FAD20CF7B5C9}">
  <ds:schemaRefs>
    <ds:schemaRef ds:uri="http://schemas.microsoft.com/office/2006/metadata/properties"/>
    <ds:schemaRef ds:uri="http://schemas.microsoft.com/office/infopath/2007/PartnerControls"/>
    <ds:schemaRef ds:uri="5aee91c3-4649-4f42-8140-e7c77de52b7c"/>
    <ds:schemaRef ds:uri="81d63505-b61b-4818-b7ff-9738316364c7"/>
  </ds:schemaRefs>
</ds:datastoreItem>
</file>

<file path=customXml/itemProps4.xml><?xml version="1.0" encoding="utf-8"?>
<ds:datastoreItem xmlns:ds="http://schemas.openxmlformats.org/officeDocument/2006/customXml" ds:itemID="{10457CD9-FEC9-4605-ABD9-0B746EB02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COWES HARBOUR COMMISSIONERS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COWES HARBOUR COMMISSIONERS</dc:title>
  <dc:subject/>
  <dc:creator>Cowes Harbour</dc:creator>
  <cp:keywords/>
  <cp:lastModifiedBy>Richard Hale</cp:lastModifiedBy>
  <cp:revision>3</cp:revision>
  <cp:lastPrinted>2019-11-21T16:52:00Z</cp:lastPrinted>
  <dcterms:created xsi:type="dcterms:W3CDTF">2023-12-22T12:30:00Z</dcterms:created>
  <dcterms:modified xsi:type="dcterms:W3CDTF">2023-12-22T12:36:00Z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76373968c2999aa792165df8fa3d348e087206d899147b3cbc80f79b776740c9</vt:lpwstr>
  </property>
  <property fmtid="{D5CDD505-2E9C-101B-9397-08002B2CF9AE}" pid="3" name="ContentTypeId">
    <vt:lpwstr>0x0101003206D1CEEB57844BBDE672B7600EB56A</vt:lpwstr>
  </property>
  <property fmtid="{D5CDD505-2E9C-101B-9397-08002B2CF9AE}" pid="4" name="MediaServiceImageTags">
    <vt:lpwstr/>
  </property>
</Properties>
</file>